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tbl>
      <w:tblPr>
        <w:tblW w:w="14415" w:type="dxa"/>
        <w:jc w:val="left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  <w:gridCol w:w="2070"/>
        <w:gridCol w:w="2830"/>
      </w:tblGrid>
      <w:tr>
        <w:trPr>
          <w:trHeight w:val="253" w:hRule="atLeast"/>
        </w:trPr>
        <w:tc>
          <w:tcPr>
            <w:tcW w:w="951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1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УТВЕРЖДАЮ:</w:t>
            </w:r>
          </w:p>
        </w:tc>
        <w:tc>
          <w:tcPr>
            <w:tcW w:w="207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Председатель МКУ «Комитет по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0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>управлению муниципальным хозяйством»</w:t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ind w:hanging="0" w:left="0" w:righ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3" w:hRule="atLeast"/>
        </w:trPr>
        <w:tc>
          <w:tcPr>
            <w:tcW w:w="951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0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___________________ Арлаускас Э И-Л</w:t>
            </w:r>
          </w:p>
        </w:tc>
        <w:tc>
          <w:tcPr>
            <w:tcW w:w="207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1585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>___ " _</w:t>
            </w:r>
            <w:r>
              <w:rPr>
                <w:sz w:val="28"/>
                <w:szCs w:val="28"/>
                <w:u w:val="single"/>
              </w:rPr>
              <w:t>марта 2024 г.</w:t>
            </w:r>
          </w:p>
        </w:tc>
        <w:tc>
          <w:tcPr>
            <w:tcW w:w="283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3" w:hRule="atLeast"/>
        </w:trPr>
        <w:tc>
          <w:tcPr>
            <w:tcW w:w="14415" w:type="dxa"/>
            <w:gridSpan w:val="3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hanging="0" w:left="0" w:right="0"/>
              <w:jc w:val="left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56"/>
          <w:szCs w:val="56"/>
        </w:rPr>
        <w:t>ГОДОВОЙ ОТЧЕТ</w:t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ConsPlusTitle"/>
        <w:widowControl/>
        <w:bidi w:val="0"/>
        <w:ind w:hanging="0" w:left="0"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ходе реализации и оценке эффективности</w:t>
      </w:r>
    </w:p>
    <w:p>
      <w:pPr>
        <w:pStyle w:val="ConsPlusTitle"/>
        <w:widowControl/>
        <w:bidi w:val="0"/>
        <w:ind w:hanging="0" w:left="0" w:righ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муниципальной программы муниципального образования «Северо-Байкальский район»</w:t>
      </w:r>
      <w:r>
        <w:rPr>
          <w:rFonts w:cs="Times New Roman" w:ascii="Times New Roman" w:hAnsi="Times New Roman"/>
          <w:b w:val="false"/>
          <w:sz w:val="40"/>
          <w:szCs w:val="40"/>
        </w:rPr>
        <w:t xml:space="preserve"> </w:t>
      </w:r>
      <w:r>
        <w:rPr>
          <w:rFonts w:cs="Times New Roman" w:ascii="Times New Roman" w:hAnsi="Times New Roman"/>
          <w:color w:val="000000"/>
          <w:sz w:val="40"/>
          <w:szCs w:val="40"/>
        </w:rPr>
        <w:t>«Комплексное развитие сельских территорий</w:t>
      </w:r>
    </w:p>
    <w:p>
      <w:pPr>
        <w:pStyle w:val="ConsPlusTitle"/>
        <w:widowControl/>
        <w:bidi w:val="0"/>
        <w:ind w:hanging="0" w:left="0"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МО «Северо-Байкальский район»</w:t>
      </w:r>
    </w:p>
    <w:p>
      <w:pPr>
        <w:pStyle w:val="ConsPlusTitle"/>
        <w:widowControl/>
        <w:bidi w:val="0"/>
        <w:ind w:hanging="0" w:left="0"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</w:r>
    </w:p>
    <w:tbl>
      <w:tblPr>
        <w:tblW w:w="957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402"/>
      </w:tblGrid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both"/>
              <w:rPr/>
            </w:pPr>
            <w:r>
              <w:rPr/>
              <w:t>МКУ «Комитет по управлению муниципальным хозяйством»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Отчётный год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/>
              <w:t>2023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Дата составления отчета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/>
              <w:t>01.03.2024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left"/>
              <w:rPr>
                <w:rFonts w:ascii="Times New Roman" w:hAnsi="Times New Roman"/>
              </w:rPr>
            </w:pPr>
            <w:r>
              <w:rPr/>
              <w:t>Специалист по сельскому хозяйству МКУ «Комитет по управлению муниципальным хозяйством» Денисова Елизавета Игоревна, тел.+7(301-30) 47-936,</w:t>
            </w:r>
          </w:p>
          <w:p>
            <w:pPr>
              <w:pStyle w:val="Normal"/>
              <w:bidi w:val="0"/>
              <w:ind w:hanging="0"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E-mail: sbsx@mail.ru</w:t>
            </w:r>
          </w:p>
        </w:tc>
      </w:tr>
    </w:tbl>
    <w:p>
      <w:pPr>
        <w:pStyle w:val="Normal"/>
        <w:bidi w:val="0"/>
        <w:ind w:hanging="0" w:left="0" w:right="0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ind w:left="-426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12"/>
        <w:numPr>
          <w:ilvl w:val="0"/>
          <w:numId w:val="0"/>
        </w:numPr>
        <w:spacing w:lineRule="auto" w:line="240"/>
        <w:ind w:hanging="0" w:left="0" w:right="-4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исполнению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«Комплексное развитие сельских территорий МО «Северо-Байкальский район»</w:t>
      </w:r>
      <w:r>
        <w:rPr>
          <w:b/>
          <w:sz w:val="28"/>
          <w:szCs w:val="28"/>
        </w:rPr>
        <w:t xml:space="preserve"> за 2023 год</w:t>
      </w:r>
    </w:p>
    <w:p>
      <w:pPr>
        <w:pStyle w:val="Heading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Конкретные результаты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муниципального образования «Северо-Байкальский район» «Комплексное развитие сельских территорий МО «Северо-Байкальский район», </w:t>
      </w:r>
      <w:r>
        <w:rPr>
          <w:rFonts w:ascii="Times New Roman" w:hAnsi="Times New Roman"/>
          <w:sz w:val="28"/>
          <w:szCs w:val="28"/>
        </w:rPr>
        <w:t>достигнутые за отчетный период 2023 год</w:t>
      </w:r>
    </w:p>
    <w:p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1.1 Основные результаты, достигнутые в отчетном году: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2023 году на территории муниципального образования «Северо-Байкальский район»  в рамках мероприятия «Благоустройство сельских территорий», был р</w:t>
      </w:r>
      <w:r>
        <w:rPr>
          <w:sz w:val="28"/>
          <w:szCs w:val="28"/>
        </w:rPr>
        <w:t>еализован 1 общественно значимый проект по благоустройству на территорий с. Байкальское Северо-Байкальского района.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1.2 Характеристика вклада основных результатов в решение задач и достижения целей  муниципальной программы: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Задача «Обеспечение создания комфортных условий жизнедеятельности в сельской местности»</w:t>
      </w:r>
      <w:r>
        <w:rPr>
          <w:i/>
          <w:sz w:val="28"/>
          <w:szCs w:val="28"/>
        </w:rPr>
        <w:t xml:space="preserve"> решалась за счет: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заявки на предоставление финансирования в Министерство сельского хозяйства и продовольствия  Республики Бурятия;</w:t>
      </w:r>
    </w:p>
    <w:p>
      <w:pPr>
        <w:pStyle w:val="Normal"/>
        <w:jc w:val="both"/>
        <w:rPr/>
      </w:pPr>
      <w:r>
        <w:rPr>
          <w:sz w:val="28"/>
          <w:szCs w:val="28"/>
        </w:rPr>
        <w:t>- заключения соглашения с Министерством сельского хозяйства и продовольствия Республики Бур</w:t>
      </w:r>
      <w:r>
        <w:rPr>
          <w:sz w:val="28"/>
          <w:szCs w:val="28"/>
          <w:shd w:fill="FFFFFF" w:val="clear"/>
        </w:rPr>
        <w:t xml:space="preserve">ятия </w:t>
      </w:r>
      <w:r>
        <w:rPr>
          <w:rFonts w:eastAsia="Calibri"/>
          <w:sz w:val="28"/>
          <w:szCs w:val="28"/>
          <w:shd w:fill="FFFFFF" w:val="clear"/>
          <w:lang w:eastAsia="en-US"/>
        </w:rPr>
        <w:t xml:space="preserve">о предоставлении в 2023 году субсидии   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sz w:val="28"/>
          <w:szCs w:val="28"/>
        </w:rPr>
        <w:t xml:space="preserve">з республиканского бюджета бюджетам муниципальных образований на реализацию мероприятий по благоустройству сельских территорий, утвержденным постановлением Правительства Республики Бурятия от 27.03.2020 г № 158 «Об утверждении Государственной программы Республики Бурятия «Комплексное развитие сельских территорий Республики Бурятия» (далее – Порядок), постановлением Правительства Республики Бурятия от 31 января 2023 г. № 49 «О распределении субсидий бюджетам муниципальных образований на реализацию мероприятия по благоустройству сельских территорий Государственной программы Республики Бурятия «Комплексное развитие сельских территорий Республики Бурятия» на 2023 год», приказом Министерства сельского хозяйства и продовольствия Республики Бурятия от 28 октября 2022 г. № 120 «Об утверждении Перечня общественно значимых проектов по благоустройству сельских территорий на финансовый 2023 год и плановый 2024-2025 гг», приказом Министерства финансов Республики Бурятия от 28 декабря 2020 г. № 656 «О Порядке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бюджета» </w:t>
      </w:r>
      <w:r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7"/>
          <w:szCs w:val="28"/>
          <w:lang w:eastAsia="en-US"/>
        </w:rPr>
        <w:t>81645000-1-2023-019</w:t>
      </w:r>
      <w:r>
        <w:rPr>
          <w:rFonts w:eastAsia="Calibri"/>
          <w:sz w:val="28"/>
          <w:szCs w:val="28"/>
          <w:lang w:eastAsia="en-US"/>
        </w:rPr>
        <w:t xml:space="preserve"> от 10.02.2023 г.,</w:t>
      </w:r>
    </w:p>
    <w:p>
      <w:pPr>
        <w:pStyle w:val="BodyText"/>
        <w:spacing w:lineRule="auto" w:line="247" w:before="52" w:after="0"/>
        <w:ind w:right="51"/>
        <w:jc w:val="both"/>
        <w:rPr/>
      </w:pPr>
      <w:r>
        <w:rPr>
          <w:sz w:val="28"/>
          <w:szCs w:val="28"/>
        </w:rPr>
        <w:t>- заключения соглашения о предоставлении иного межбюджетного трансферта из бюджета муниципального образования «Северо-Байкальский район», в том числе межбюджетные трансферты на осуществление части полномочий по решению вопросов местного значения бюджету муниципального образования сельского поселения «Байкальское эвенкийское» на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комплексное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развитие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сельских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территорий №4 от 17.02.2023 г.</w:t>
      </w:r>
    </w:p>
    <w:p>
      <w:pPr>
        <w:pStyle w:val="Normal"/>
        <w:jc w:val="both"/>
        <w:rPr>
          <w:i/>
          <w:i/>
        </w:rPr>
      </w:pPr>
      <w:r>
        <w:rPr>
          <w:i/>
          <w:color w:val="000000"/>
        </w:rPr>
        <w:t xml:space="preserve">       </w:t>
      </w:r>
      <w:r>
        <w:rPr>
          <w:i/>
          <w:color w:val="000000"/>
          <w:sz w:val="28"/>
          <w:szCs w:val="28"/>
        </w:rPr>
        <w:t>Мероприятия по выполнению задачи  «Обеспечение создания комфортных условий жизнедеятельности в сельской местности» решалась за счет: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заключения договоров на изготовление ограждения и </w:t>
      </w:r>
      <w:r>
        <w:rPr>
          <w:color w:val="000000"/>
          <w:sz w:val="28"/>
          <w:szCs w:val="28"/>
        </w:rPr>
        <w:t xml:space="preserve">работы по благоустройству набережной с. Байкальское 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ConsPlusTitle"/>
        <w:widowControl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Раздел 2. Анализ факторов, повлиявших на ход реализации муниципальной программы     </w:t>
      </w:r>
    </w:p>
    <w:p>
      <w:pPr>
        <w:pStyle w:val="ConsPlusTitle"/>
        <w:widowControl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ab/>
        <w:t xml:space="preserve">Мероприятие программы «Благоустройство сельских территорий» в рамках выделенных средств реализовано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00" w:val="clear"/>
        </w:rPr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3. Данные об использовании бюджетных ассигнований и иных средств на выполнение мероприятий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 программных мероприятий осуществлялось за счет средств  федерального, республиканского, местного бюджета и внебюджетных источников в объемах, предусмотренных Программой и утвержденных </w:t>
      </w:r>
      <w:r>
        <w:rPr>
          <w:bCs/>
          <w:spacing w:val="-2"/>
          <w:sz w:val="28"/>
          <w:szCs w:val="28"/>
        </w:rPr>
        <w:t xml:space="preserve">Решением Совета депутатов муниципального образования «Северо-Байкальский район» от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 (в редакции решения Совета депутатов МО «Северо-Байкальский район» от  26.09.2023 № 479-VI).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На реализацию мероприятий  </w:t>
      </w:r>
      <w:r>
        <w:rPr>
          <w:color w:val="000000"/>
          <w:sz w:val="28"/>
          <w:szCs w:val="28"/>
        </w:rPr>
        <w:t>Муниципальной программы муниципального образования «Северо-Байкальский район»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«Комплексное развитие сельских территорий МО «Северо-Байкальский район»</w:t>
      </w:r>
      <w:r>
        <w:rPr>
          <w:sz w:val="28"/>
          <w:szCs w:val="28"/>
        </w:rPr>
        <w:t xml:space="preserve"> в 2023 году предусмотрено </w:t>
      </w:r>
      <w:r>
        <w:rPr>
          <w:bCs/>
          <w:color w:val="000000"/>
          <w:sz w:val="28"/>
          <w:szCs w:val="28"/>
        </w:rPr>
        <w:t>1000,05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тыс. рублей, бюджетных средств в том числе: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>
        <w:rPr>
          <w:rFonts w:eastAsia="Arial"/>
          <w:color w:val="000000"/>
          <w:sz w:val="28"/>
          <w:szCs w:val="28"/>
        </w:rPr>
        <w:t xml:space="preserve">686,0 </w:t>
      </w:r>
      <w:r>
        <w:rPr>
          <w:sz w:val="28"/>
          <w:szCs w:val="28"/>
        </w:rPr>
        <w:t>тыс. рублей;</w:t>
      </w:r>
    </w:p>
    <w:p>
      <w:pPr>
        <w:pStyle w:val="Normal"/>
        <w:numPr>
          <w:ilvl w:val="0"/>
          <w:numId w:val="0"/>
        </w:numPr>
        <w:ind w:hanging="0" w:left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республиканский бюджет – </w:t>
      </w:r>
      <w:r>
        <w:rPr>
          <w:rFonts w:eastAsia="Arial"/>
          <w:color w:val="000000"/>
          <w:sz w:val="28"/>
          <w:szCs w:val="28"/>
        </w:rPr>
        <w:t xml:space="preserve">14,0 </w:t>
      </w:r>
      <w:r>
        <w:rPr>
          <w:sz w:val="28"/>
          <w:szCs w:val="28"/>
        </w:rPr>
        <w:t>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>
        <w:rPr>
          <w:rFonts w:eastAsia="Arial"/>
          <w:sz w:val="28"/>
          <w:szCs w:val="28"/>
        </w:rPr>
        <w:t>50,02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 — </w:t>
      </w:r>
      <w:r>
        <w:rPr>
          <w:rFonts w:eastAsia="Arial"/>
          <w:sz w:val="28"/>
          <w:szCs w:val="28"/>
        </w:rPr>
        <w:t>250,03 тыс. рублей.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Кассовые расходы составили 1000,05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sz w:val="28"/>
          <w:szCs w:val="28"/>
          <w:shd w:fill="FFFFFF" w:val="clear"/>
        </w:rPr>
        <w:t xml:space="preserve">100 % </w:t>
      </w:r>
      <w:r>
        <w:rPr>
          <w:sz w:val="28"/>
          <w:szCs w:val="28"/>
        </w:rPr>
        <w:t xml:space="preserve"> к годовым назначениям.  </w:t>
      </w:r>
    </w:p>
    <w:p>
      <w:pPr>
        <w:pStyle w:val="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использованы строго по целевому назначению на выполнение программных мероприятий.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 Данные о внесенных изменениях в муниципальную программу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 в муниципальную программу внесены изменения постановлениями администрации МО «Северо-Байкальский район»: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№ 81 от 31.03.2023 г. О внесении изменений в постановление администрации МО «Северо-Байкальский район» от 07.12.2022 г. № 257 «Об утверждении Муниципальной программы  Муниципального образования «Северо-Байкальский район» </w:t>
      </w:r>
      <w:r>
        <w:rPr>
          <w:color w:val="000000"/>
          <w:sz w:val="28"/>
          <w:szCs w:val="28"/>
        </w:rPr>
        <w:t>«Комплексное развитие сельских территорий МО «Северо-Байкальский район» на 2022-2025 годы»</w:t>
      </w:r>
    </w:p>
    <w:p>
      <w:pPr>
        <w:pStyle w:val="Normal"/>
        <w:tabs>
          <w:tab w:val="clear" w:pos="708"/>
          <w:tab w:val="left" w:pos="82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№252 от 15.11.2023 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внесении изменений в приложение к постановлению администрации МО «Северо-Байкальский район» от 07.12.2022 г. № 257 «Об утверждении Муниципальной программы Муниципального образования «Северо-Байкальский район» </w:t>
      </w:r>
      <w:r>
        <w:rPr>
          <w:color w:val="000000"/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сельских территорий МО «Северо-Байкальский район»</w:t>
      </w:r>
    </w:p>
    <w:p>
      <w:pPr>
        <w:pStyle w:val="Normal"/>
        <w:tabs>
          <w:tab w:val="clear" w:pos="708"/>
          <w:tab w:val="left" w:pos="82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Изменения, внесенные в муниципальную программу в отчетном году</w:t>
      </w:r>
    </w:p>
    <w:tbl>
      <w:tblPr>
        <w:tblW w:w="103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1843"/>
        <w:gridCol w:w="779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Внесенные изменения в программу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правовых актов об утверждении внесенных изменений</w:t>
            </w:r>
          </w:p>
        </w:tc>
      </w:tr>
      <w:tr>
        <w:trPr>
          <w:trHeight w:val="24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средств  по программе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Решение Совета депутатов муниципального образования «Северо-Байкальский район» от 27.12.2022г. №398-VI «О бюджете муниципального образования «Северо-Байкальский район» на 2023 год и на плановый период 2024 и 2025 годов»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в </w:t>
            </w:r>
            <w:r>
              <w:rPr>
                <w:bCs/>
                <w:spacing w:val="-2"/>
                <w:sz w:val="28"/>
                <w:szCs w:val="28"/>
              </w:rPr>
              <w:t>Решение Совета депутатов муниципального образования «Северо-Байкальский район» от 26.09.2023г. №479-VI «О бюджете муниципального образования «Северо-Байкальский район» на 2023 год и на плановый период 2024 и 2025 годов»</w:t>
            </w:r>
          </w:p>
        </w:tc>
      </w:tr>
    </w:tbl>
    <w:p>
      <w:pPr>
        <w:pStyle w:val="Normal"/>
        <w:ind w:left="-142"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-142" w:right="-143"/>
        <w:jc w:val="both"/>
        <w:rPr/>
      </w:pPr>
      <w:r>
        <w:rPr>
          <w:b/>
          <w:sz w:val="28"/>
          <w:szCs w:val="28"/>
        </w:rPr>
        <w:t xml:space="preserve">Раздел 5. Оценка эффективности муниципальной программы </w:t>
      </w:r>
      <w:r>
        <w:rPr>
          <w:b/>
          <w:color w:val="000000"/>
          <w:sz w:val="28"/>
          <w:szCs w:val="28"/>
        </w:rPr>
        <w:t>«Комплексное развитие сельских территорий МО «Северо-Байкальский район»</w:t>
      </w:r>
    </w:p>
    <w:p>
      <w:pPr>
        <w:pStyle w:val="Normal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38"/>
          <w:pgMar w:left="1134" w:right="567" w:gutter="0" w:header="0" w:top="1200" w:footer="713" w:bottom="770"/>
          <w:pgNumType w:fmt="decimal"/>
          <w:formProt w:val="false"/>
          <w:textDirection w:val="lrTb"/>
          <w:docGrid w:type="default" w:linePitch="326" w:charSpace="0"/>
        </w:sectPr>
        <w:pStyle w:val="Normal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Western"/>
        <w:spacing w:lineRule="auto" w:line="240" w:before="280" w:after="227"/>
        <w:jc w:val="center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Расчет интегральной оценки эффективности реализации муниципальной программы</w:t>
      </w:r>
    </w:p>
    <w:p>
      <w:pPr>
        <w:pStyle w:val="Normal"/>
        <w:shd w:val="clear" w:color="auto" w:fill="FFFFFF"/>
        <w:spacing w:lineRule="atLeast" w:line="315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</w:rPr>
        <w:t xml:space="preserve">Таблица N </w:t>
      </w:r>
      <w:r>
        <w:rPr>
          <w:spacing w:val="2"/>
          <w:sz w:val="20"/>
          <w:szCs w:val="20"/>
        </w:rPr>
        <w:t>1</w:t>
      </w:r>
    </w:p>
    <w:tbl>
      <w:tblPr>
        <w:tblW w:w="155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9"/>
        <w:gridCol w:w="1529"/>
        <w:gridCol w:w="1082"/>
        <w:gridCol w:w="1425"/>
        <w:gridCol w:w="1185"/>
        <w:gridCol w:w="1304"/>
        <w:gridCol w:w="1020"/>
        <w:gridCol w:w="1470"/>
        <w:gridCol w:w="1591"/>
        <w:gridCol w:w="1409"/>
        <w:gridCol w:w="1366"/>
        <w:gridCol w:w="1589"/>
      </w:tblGrid>
      <w:tr>
        <w:trPr>
          <w:trHeight w:val="15" w:hRule="exact"/>
        </w:trPr>
        <w:tc>
          <w:tcPr>
            <w:tcW w:w="59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п/п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 муниципальной программы &lt;*&gt;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показатель в пределах доведенных бюджетных ассигнований на текущий финансовый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целевого индикатора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оценки выполнения целевого индикатора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Ст.5/ст.4*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  &lt;1&gt;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выполнения индикатора (U)</w:t>
            </w:r>
          </w:p>
          <w:p>
            <w:pPr>
              <w:pStyle w:val="Normal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(бюджетные ассигнования на очередной финансовый год)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(кассовое исполнение)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финобеспечения (Vфин)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25"/>
              <w:ind w:hanging="0" w:left="-284"/>
              <w:jc w:val="both"/>
              <w:textAlignment w:val="baseline"/>
              <w:outlineLvl w:val="3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Vфин = Vf / Vp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Интегральная оценка эффективности (R)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25"/>
              <w:ind w:hanging="0" w:left="-284"/>
              <w:jc w:val="both"/>
              <w:textAlignment w:val="baseline"/>
              <w:outlineLvl w:val="3"/>
              <w:rPr>
                <w:b/>
                <w:spacing w:val="2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16"/>
                <w:szCs w:val="16"/>
              </w:rPr>
              <w:t xml:space="preserve"> = U / Vфин</w:t>
            </w:r>
          </w:p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оценка реализации муниципальной программы</w:t>
            </w:r>
          </w:p>
          <w:p>
            <w:pPr>
              <w:pStyle w:val="Normal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 &gt; 0,8 эффективная)</w:t>
            </w:r>
          </w:p>
          <w:p>
            <w:pPr>
              <w:pStyle w:val="Normal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(0,6 &lt; R &lt;= 0,8недостаточно эффективная)</w:t>
            </w:r>
          </w:p>
          <w:p>
            <w:pPr>
              <w:pStyle w:val="Normal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 &lt;= 0,6 неэффективная)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12</w:t>
            </w:r>
          </w:p>
        </w:tc>
      </w:tr>
      <w:tr>
        <w:trPr/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</w:t>
            </w:r>
          </w:p>
        </w:tc>
        <w:tc>
          <w:tcPr>
            <w:tcW w:w="149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tabs>
                <w:tab w:val="clear" w:pos="708"/>
                <w:tab w:val="left" w:pos="7797" w:leader="none"/>
              </w:tabs>
              <w:rPr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  <w:color w:val="000000"/>
              </w:rPr>
              <w:t xml:space="preserve">Подпрограмма 1. </w:t>
            </w:r>
            <w:r>
              <w:rPr>
                <w:b w:val="false"/>
                <w:bCs w:val="false"/>
                <w:i/>
                <w:iCs/>
              </w:rPr>
              <w:t>«Создание условий для обеспечения доступным и комфортным жильем сельского населения»</w:t>
            </w:r>
          </w:p>
          <w:p>
            <w:pPr>
              <w:pStyle w:val="Normal"/>
              <w:jc w:val="both"/>
              <w:rPr>
                <w:b w:val="false"/>
                <w:bCs w:val="false"/>
                <w:i/>
                <w:i/>
                <w:iCs/>
                <w:color w:val="000000"/>
              </w:rPr>
            </w:pPr>
            <w:r>
              <w:rPr>
                <w:b w:val="false"/>
                <w:bCs w:val="false"/>
                <w:i/>
                <w:iCs/>
                <w:color w:val="000000"/>
              </w:rPr>
            </w:r>
          </w:p>
        </w:tc>
      </w:tr>
      <w:tr>
        <w:trPr/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1.1.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жилых помещений (жилых домов) для граждан, проживающих на сельских территориях</w:t>
            </w:r>
          </w:p>
        </w:tc>
        <w:tc>
          <w:tcPr>
            <w:tcW w:w="1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х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х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х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х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1.2.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  <w:t>2.</w:t>
            </w:r>
          </w:p>
        </w:tc>
        <w:tc>
          <w:tcPr>
            <w:tcW w:w="149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2. «Создание и развитие инфраструктуры на сельских территориях»</w:t>
            </w:r>
          </w:p>
        </w:tc>
      </w:tr>
      <w:tr>
        <w:trPr>
          <w:trHeight w:val="169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/>
            </w:pPr>
            <w:r>
              <w:rPr/>
              <w:t>2.1.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100</w:t>
            </w:r>
          </w:p>
          <w:p>
            <w:pPr>
              <w:pStyle w:val="Normal"/>
              <w:jc w:val="both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b/>
                <w:spacing w:val="2"/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69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/>
            </w:pPr>
            <w:r>
              <w:rPr/>
              <w:t>1.2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b/>
                <w:spacing w:val="2"/>
                <w:sz w:val="16"/>
                <w:szCs w:val="16"/>
                <w:highlight w:val="none"/>
                <w:shd w:fill="FFFFFF" w:val="clear"/>
              </w:rPr>
            </w:pPr>
            <w:r>
              <w:rPr>
                <w:b/>
                <w:spacing w:val="2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highlight w:val="none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Итого по программе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pacing w:val="2"/>
                <w:sz w:val="16"/>
                <w:szCs w:val="16"/>
                <w:shd w:fill="FFFFFF" w:val="clear"/>
                <w:lang w:val="en-US"/>
              </w:rPr>
              <w:t>U =4/4</w:t>
            </w:r>
            <w:r>
              <w:rPr>
                <w:b/>
                <w:spacing w:val="2"/>
                <w:sz w:val="16"/>
                <w:szCs w:val="16"/>
                <w:shd w:fill="FFFFFF" w:val="clear"/>
                <w:lang w:val="ru-RU"/>
              </w:rPr>
              <w:t>*100=100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1000,05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1000,05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pacing w:val="2"/>
                <w:sz w:val="16"/>
                <w:szCs w:val="16"/>
                <w:shd w:fill="FFFFFF" w:val="clear"/>
              </w:rPr>
              <w:t>Vфин = Vf / Vp</w:t>
            </w:r>
          </w:p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pacing w:val="2"/>
                <w:sz w:val="16"/>
                <w:szCs w:val="16"/>
                <w:shd w:fill="FFFFFF" w:val="clear"/>
              </w:rPr>
              <w:t>1000,05/1000,05=1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R</w:t>
            </w:r>
            <w:r>
              <w:rPr>
                <w:b/>
                <w:spacing w:val="2"/>
                <w:sz w:val="16"/>
                <w:szCs w:val="16"/>
                <w:shd w:fill="FFFFFF" w:val="clear"/>
              </w:rPr>
              <w:t xml:space="preserve"> = U / Vфин</w:t>
            </w:r>
          </w:p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pacing w:val="2"/>
                <w:sz w:val="16"/>
                <w:szCs w:val="16"/>
                <w:shd w:fill="FFFFFF" w:val="clear"/>
              </w:rPr>
              <w:t>100/1=100</w:t>
            </w:r>
          </w:p>
          <w:p>
            <w:pPr>
              <w:pStyle w:val="Normal"/>
              <w:jc w:val="both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both"/>
              <w:textAlignment w:val="baseline"/>
              <w:rPr>
                <w:highlight w:val="none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  <w:lang w:val="en-US"/>
              </w:rPr>
              <w:t>R &gt; 0,8 эффективная</w:t>
            </w:r>
          </w:p>
        </w:tc>
      </w:tr>
    </w:tbl>
    <w:p>
      <w:pPr>
        <w:sectPr>
          <w:footerReference w:type="default" r:id="rId5"/>
          <w:footerReference w:type="first" r:id="rId6"/>
          <w:type w:val="nextPage"/>
          <w:pgSz w:orient="landscape" w:w="16838" w:h="11906"/>
          <w:pgMar w:left="567" w:right="765" w:gutter="0" w:header="0" w:top="567" w:footer="709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shd w:val="clear" w:color="auto" w:fill="FFFFFF"/>
        <w:spacing w:lineRule="atLeast" w:line="315"/>
        <w:textAlignment w:val="baseline"/>
        <w:rPr>
          <w:spacing w:val="2"/>
        </w:rPr>
      </w:pPr>
      <w:r>
        <w:rPr>
          <w:rFonts w:eastAsia="Arial"/>
        </w:rPr>
        <w:t xml:space="preserve">&lt;1&gt; Показатель считается выполненный в пределах от 99 % до 100%.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Оценка эффективности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Таблица N 2</w:t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419"/>
        <w:gridCol w:w="3785"/>
      </w:tblGrid>
      <w:tr>
        <w:trPr>
          <w:trHeight w:val="15" w:hRule="exact"/>
        </w:trPr>
        <w:tc>
          <w:tcPr>
            <w:tcW w:w="64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378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Численное значение интегральной оценки эффективности реализации муниципальной программы (R)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Качественная характеристика муниципальной программы</w:t>
            </w:r>
          </w:p>
        </w:tc>
      </w:tr>
      <w:tr>
        <w:trPr/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jc w:val="center"/>
              <w:textAlignment w:val="baseline"/>
              <w:rPr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Times New Roman"/>
                <w:sz w:val="24"/>
                <w:szCs w:val="24"/>
                <w:shd w:fill="FFFFFF" w:val="clear"/>
                <w:lang w:val="en-US" w:eastAsia="ru-RU"/>
              </w:rPr>
              <w:t>R &gt; 0,8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Эффективная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Оценка полноты использования бюджетных ассигнований на реализацию подпрограммы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br/>
        <w:t>Таблица N 3</w:t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90"/>
        <w:gridCol w:w="3814"/>
      </w:tblGrid>
      <w:tr>
        <w:trPr>
          <w:trHeight w:val="15" w:hRule="exact"/>
        </w:trPr>
        <w:tc>
          <w:tcPr>
            <w:tcW w:w="63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Характеристика использования бюджетных ассигнований на реализацию подпрограммы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Значение оценки полноты использования бюджетных ассигнований на реализацию подпрограммы</w:t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отчетного периода произошло увеличение бюджетных ассигнований более чем на 5% от первоначально запланированного объема средств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отчетного периода произошло увеличение бюджетных ассигнований до 5% от первоначально запланированного объема средств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бюджетных ассигнований в пределах от 98% до 100% от первоначально запланированного объема средств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Полное использование выделенных средств</w:t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бюджетных ассигнований в пределах от 90% до 98% от первоначально запланированного объема средств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бюджетных ассигнований менее чем на 90% от первоначально запланированного объема средств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Шкала динамики эффективности муниципальных программ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br/>
      </w:r>
      <w:r>
        <w:rPr>
          <w:rFonts w:eastAsia="Times New Roman"/>
          <w:spacing w:val="2"/>
          <w:sz w:val="24"/>
          <w:szCs w:val="24"/>
          <w:lang w:eastAsia="ru-RU"/>
        </w:rPr>
        <w:t>Таблица N 4</w:t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62"/>
        <w:gridCol w:w="3442"/>
      </w:tblGrid>
      <w:tr>
        <w:trPr>
          <w:trHeight w:val="15" w:hRule="exact"/>
        </w:trPr>
        <w:tc>
          <w:tcPr>
            <w:tcW w:w="67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34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Соотношение интегральной оценки эффективности реализации муниципальной программы (R) за отчетный год и оценки эффективности реализации муниципальной  программы (R0пр) за предшествующий год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Вывод о динамике эффективности реализации муниципальной программы</w:t>
            </w:r>
          </w:p>
        </w:tc>
      </w:tr>
      <w:tr>
        <w:trPr/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highlight w:val="none"/>
                <w:shd w:fill="FFFFFF" w:val="clear"/>
              </w:rPr>
            </w:pPr>
            <w:r>
              <w:rPr>
                <w:rFonts w:eastAsia="Times New Roman"/>
                <w:sz w:val="24"/>
                <w:szCs w:val="24"/>
                <w:shd w:fill="FFFFFF" w:val="clear"/>
                <w:lang w:val="en-US" w:eastAsia="ru-RU"/>
              </w:rPr>
              <w:t xml:space="preserve">R &gt; 0,8   100 </w:t>
            </w:r>
            <w:r>
              <w:rPr>
                <w:rFonts w:eastAsia="Times New Roman"/>
                <w:sz w:val="16"/>
                <w:szCs w:val="16"/>
                <w:shd w:fill="FFFFFF" w:val="clear"/>
                <w:lang w:val="en-US" w:eastAsia="ru-RU"/>
              </w:rPr>
              <w:t>&gt;</w:t>
            </w:r>
            <w:r>
              <w:rPr>
                <w:rFonts w:eastAsia="Times New Roman"/>
                <w:sz w:val="24"/>
                <w:szCs w:val="24"/>
                <w:shd w:fill="FFFFFF" w:val="clear"/>
                <w:lang w:val="en-US" w:eastAsia="ru-RU"/>
              </w:rPr>
              <w:t>0.8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Эффективная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textAlignment w:val="baseline"/>
        <w:outlineLvl w:val="4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Сводная форма по оценке эффективности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br/>
      </w:r>
      <w:r>
        <w:rPr>
          <w:rFonts w:eastAsia="Times New Roman"/>
          <w:spacing w:val="2"/>
          <w:sz w:val="24"/>
          <w:szCs w:val="24"/>
          <w:lang w:eastAsia="ru-RU"/>
        </w:rPr>
        <w:t>Таблица N 5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39"/>
        <w:gridCol w:w="1930"/>
        <w:gridCol w:w="2160"/>
        <w:gridCol w:w="1945"/>
        <w:gridCol w:w="1581"/>
      </w:tblGrid>
      <w:tr>
        <w:trPr>
          <w:trHeight w:val="15" w:hRule="exact"/>
        </w:trPr>
        <w:tc>
          <w:tcPr>
            <w:tcW w:w="173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Численное значение интегральной оценки (R) за отчетный год, </w:t>
            </w:r>
            <w:bookmarkStart w:id="1" w:name="_Hlk128990541"/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  <w:bookmarkEnd w:id="1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Качественная характеристика муниципальной программы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Численное значение интегральной оценки (R0пр) за предшествующий год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Вывод о динамике эффективности реализации муниципальной программы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lef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Средства не выделялись, значение интегральной (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0пр) за предшествующий год отсутствуют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Продолжать реализацию программы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textAlignment w:val="baseline"/>
        <w:outlineLvl w:val="4"/>
        <w:rPr>
          <w:rFonts w:ascii="Times New Roman" w:hAnsi="Times New Roman"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Результаты оценки эффективности реализации муниципальных программ за 2023 год</w:t>
      </w:r>
    </w:p>
    <w:p>
      <w:pPr>
        <w:pStyle w:val="Normal"/>
        <w:spacing w:lineRule="atLeast" w:line="315" w:before="0" w:after="0"/>
        <w:jc w:val="right"/>
        <w:textAlignment w:val="baseline"/>
        <w:rPr>
          <w:rFonts w:ascii="Times New Roman" w:hAnsi="Times New Roman"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br/>
      </w:r>
      <w:r>
        <w:rPr>
          <w:rFonts w:eastAsia="Times New Roman"/>
          <w:spacing w:val="2"/>
          <w:sz w:val="24"/>
          <w:szCs w:val="24"/>
          <w:lang w:eastAsia="ru-RU"/>
        </w:rPr>
        <w:t>Таблица N 6</w:t>
      </w:r>
    </w:p>
    <w:tbl>
      <w:tblPr>
        <w:tblW w:w="103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69"/>
        <w:gridCol w:w="1036"/>
        <w:gridCol w:w="1350"/>
        <w:gridCol w:w="1200"/>
        <w:gridCol w:w="715"/>
        <w:gridCol w:w="864"/>
        <w:gridCol w:w="1096"/>
        <w:gridCol w:w="984"/>
        <w:gridCol w:w="1590"/>
      </w:tblGrid>
      <w:tr>
        <w:trPr>
          <w:trHeight w:val="15" w:hRule="exact"/>
        </w:trPr>
        <w:tc>
          <w:tcPr>
            <w:tcW w:w="146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03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Уровень финансового обеспечения муниципальной программы в отчетном году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Интегральная оценка эффективности реализации муниципальной программы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Качественная оценка реализации муниципальной программы (эффективная, недостаточно эффективная, неэффективная)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left"/>
              <w:textAlignment w:val="baseline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>
        <w:trPr/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 предыдущий год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 предыдущий год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12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</w:tabs>
              <w:ind w:right="-1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«Комплексное развитие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</w:tabs>
              <w:ind w:right="-1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сельских территорий МО «Северо-Байкальский район»</w:t>
            </w:r>
          </w:p>
          <w:p>
            <w:pPr>
              <w:pStyle w:val="ConsPlusTitle"/>
              <w:widowControl/>
              <w:ind w:firstLine="567"/>
              <w:rPr>
                <w:b w:val="false"/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b w:val="false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2022-2026 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rPr>
                <w:highlight w:val="none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Специалист по сельскому хозяйству МКУ «КУМХ» Е.И. Денисова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none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hanging="0" w:left="0" w:right="-113"/>
              <w:jc w:val="center"/>
              <w:rPr>
                <w:sz w:val="24"/>
                <w:szCs w:val="24"/>
                <w:highlight w:val="none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rPr>
                <w:highlight w:val="none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Продолжить реализацию программы</w:t>
            </w:r>
          </w:p>
        </w:tc>
      </w:tr>
    </w:tbl>
    <w:p>
      <w:pPr>
        <w:pStyle w:val="Heading1"/>
        <w:spacing w:beforeAutospacing="0" w:before="0" w:afterAutospacing="0" w:after="0"/>
        <w:textAlignment w:val="baselin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sectPr>
      <w:footerReference w:type="default" r:id="rId7"/>
      <w:footerReference w:type="first" r:id="rId8"/>
      <w:type w:val="nextPage"/>
      <w:pgSz w:w="11906" w:h="16838"/>
      <w:pgMar w:left="1134" w:right="567" w:gutter="0" w:header="0" w:top="1095" w:footer="713" w:bottom="77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382B436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 wp14:anchorId="382B436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B1886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5pt;margin-top:0.05pt;width:5.6pt;height:13.3pt;mso-wrap-style:square;v-text-anchor:top;mso-position-horizontal:right;mso-position-horizontal-relative:margin" wp14:anchorId="3B18861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B1886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5pt;margin-top:0.05pt;width:5.6pt;height:13.3pt;mso-wrap-style:square;v-text-anchor:top;mso-position-horizontal:right;mso-position-horizontal-relative:margin" wp14:anchorId="3B18861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 wp14:anchorId="3B1886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4" name="Врез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1" path="m0,0l-2147483645,0l-2147483645,-2147483646l0,-2147483646xe" stroked="f" o:allowincell="f" style="position:absolute;margin-left:769.55pt;margin-top:0.05pt;width:5.6pt;height:13.3pt;mso-wrap-style:square;v-text-anchor:top;mso-position-horizontal:right;mso-position-horizontal-relative:margin" wp14:anchorId="3B18861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8" wp14:anchorId="3B1886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Врезка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2" path="m0,0l-2147483645,0l-2147483645,-2147483646l0,-2147483646xe" stroked="f" o:allowincell="f" style="position:absolute;margin-left:504.5pt;margin-top:0.05pt;width:5.6pt;height:13.3pt;mso-wrap-style:square;v-text-anchor:top;mso-position-horizontal:right;mso-position-horizontal-relative:margin" wp14:anchorId="3B18861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15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1"/>
    <w:uiPriority w:val="9"/>
    <w:qFormat/>
    <w:rsid w:val="00cd50d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3">
    <w:name w:val="Heading 3"/>
    <w:basedOn w:val="Normal"/>
    <w:next w:val="Normal"/>
    <w:link w:val="3"/>
    <w:unhideWhenUsed/>
    <w:qFormat/>
    <w:rsid w:val="0043159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431598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Style12" w:customStyle="1">
    <w:name w:val="Нижний колонтитул Знак"/>
    <w:qFormat/>
    <w:locked/>
    <w:rsid w:val="00431598"/>
    <w:rPr>
      <w:lang w:eastAsia="ru-RU"/>
    </w:rPr>
  </w:style>
  <w:style w:type="character" w:styleId="Pagenumber">
    <w:name w:val="page number"/>
    <w:basedOn w:val="DefaultParagraphFont"/>
    <w:qFormat/>
    <w:rsid w:val="00431598"/>
    <w:rPr/>
  </w:style>
  <w:style w:type="character" w:styleId="Style13" w:customStyle="1">
    <w:name w:val="Основной текст Знак"/>
    <w:basedOn w:val="DefaultParagraphFont"/>
    <w:qFormat/>
    <w:rsid w:val="0043159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Нижний колонтитул Знак1"/>
    <w:basedOn w:val="DefaultParagraphFont"/>
    <w:uiPriority w:val="99"/>
    <w:semiHidden/>
    <w:qFormat/>
    <w:rsid w:val="0043159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cd50d8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  <w:lang w:eastAsia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3"/>
    <w:rsid w:val="00431598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6" w:customStyle="1">
    <w:name w:val="Колонтитул"/>
    <w:basedOn w:val="Normal"/>
    <w:qFormat/>
    <w:pPr/>
    <w:rPr/>
  </w:style>
  <w:style w:type="paragraph" w:styleId="Footer">
    <w:name w:val="Footer"/>
    <w:basedOn w:val="Normal"/>
    <w:link w:val="Style12"/>
    <w:rsid w:val="0043159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ConsPlusTitle" w:customStyle="1">
    <w:name w:val="ConsPlusTitle"/>
    <w:qFormat/>
    <w:rsid w:val="0043159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17" w:customStyle="1">
    <w:name w:val="Содержимое врезки"/>
    <w:basedOn w:val="Normal"/>
    <w:qFormat/>
    <w:pPr/>
    <w:rPr/>
  </w:style>
  <w:style w:type="paragraph" w:styleId="12" w:customStyle="1">
    <w:name w:val="Обычный1"/>
    <w:qFormat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5e1b62"/>
    <w:pPr>
      <w:suppressAutoHyphens w:val="false"/>
      <w:spacing w:lineRule="auto" w:line="276" w:beforeAutospacing="1" w:after="142"/>
    </w:pPr>
    <w:rPr/>
  </w:style>
  <w:style w:type="paragraph" w:styleId="Header">
    <w:name w:val="Header"/>
    <w:basedOn w:val="Style16"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LibreOffice/7.6.4.1$Windows_X86_64 LibreOffice_project/e19e193f88cd6c0525a17fb7a176ed8e6a3e2aa1</Application>
  <AppVersion>15.0000</AppVersion>
  <Pages>8</Pages>
  <Words>1341</Words>
  <Characters>9682</Characters>
  <CharactersWithSpaces>11211</CharactersWithSpaces>
  <Paragraphs>211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2024-03-25T06:14:00Z</dcterms:created>
  <dc:creator>Post</dc:creator>
  <dc:description/>
  <dc:language>ru-RU</dc:language>
  <cp:lastModifiedBy/>
  <cp:lastPrinted>2024-03-26T16:25:27Z</cp:lastPrinted>
  <dcterms:modified xsi:type="dcterms:W3CDTF">2024-03-27T11:42:29Z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