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ind w:firstLine="145" w:left="4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415" w:type="dxa"/>
        <w:jc w:val="left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  <w:gridCol w:w="2070"/>
        <w:gridCol w:w="2830"/>
      </w:tblGrid>
      <w:tr>
        <w:trPr>
          <w:trHeight w:val="253" w:hRule="atLeast"/>
        </w:trPr>
        <w:tc>
          <w:tcPr>
            <w:tcW w:w="951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hanging="0" w:left="0" w:right="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УТВЕРЖДАЮ:</w:t>
            </w:r>
          </w:p>
        </w:tc>
        <w:tc>
          <w:tcPr>
            <w:tcW w:w="207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jc w:val="right"/>
              <w:outlineLvl w:val="1"/>
              <w:rPr>
                <w:rFonts w:ascii="Times New Roman" w:hAnsi="Times New Roman" w:cs="Arial"/>
                <w:b/>
                <w:bCs/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jc w:val="right"/>
              <w:outlineLvl w:val="1"/>
              <w:rPr>
                <w:rFonts w:ascii="Times New Roman" w:hAnsi="Times New Roman" w:cs="Arial"/>
                <w:b/>
                <w:bCs/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14415" w:type="dxa"/>
            <w:gridSpan w:val="3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Глава-Руководитель Администрации </w:t>
            </w:r>
          </w:p>
          <w:p>
            <w:pPr>
              <w:pStyle w:val="Normal"/>
              <w:numPr>
                <w:ilvl w:val="0"/>
                <w:numId w:val="0"/>
              </w:numPr>
              <w:ind w:hanging="0" w:left="0"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МО «Северо-Байкальский район»</w:t>
            </w:r>
          </w:p>
        </w:tc>
      </w:tr>
      <w:tr>
        <w:trPr>
          <w:trHeight w:val="253" w:hRule="atLeast"/>
        </w:trPr>
        <w:tc>
          <w:tcPr>
            <w:tcW w:w="14415" w:type="dxa"/>
            <w:gridSpan w:val="3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53" w:hRule="atLeast"/>
        </w:trPr>
        <w:tc>
          <w:tcPr>
            <w:tcW w:w="951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   Пухарев И. В.</w:t>
            </w:r>
          </w:p>
        </w:tc>
        <w:tc>
          <w:tcPr>
            <w:tcW w:w="207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jc w:val="right"/>
              <w:outlineLvl w:val="0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jc w:val="right"/>
              <w:outlineLvl w:val="0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11585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  <w:p>
            <w:pPr>
              <w:pStyle w:val="Normal"/>
              <w:numPr>
                <w:ilvl w:val="0"/>
                <w:numId w:val="0"/>
              </w:numPr>
              <w:ind w:hanging="0" w:left="0" w:righ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«29» марта 2024 г. </w:t>
            </w:r>
          </w:p>
        </w:tc>
        <w:tc>
          <w:tcPr>
            <w:tcW w:w="283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jc w:val="right"/>
              <w:outlineLvl w:val="0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14415" w:type="dxa"/>
            <w:gridSpan w:val="3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outlineLvl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ГОДОВОЙ ОТЧЕТ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о ходе реализации и оценке эффективности</w:t>
      </w:r>
    </w:p>
    <w:p>
      <w:pPr>
        <w:pStyle w:val="Normal"/>
        <w:ind w:left="284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муниципальной программы муниципального образования «Профилактика терроризма и экстремизма, а также минимизация и (или) ликвидация последствий терроризма и экстремизма</w:t>
      </w:r>
      <w:r>
        <w:rPr>
          <w:rFonts w:ascii="Times New Roman" w:hAnsi="Times New Roman"/>
          <w:bCs/>
          <w:sz w:val="36"/>
          <w:szCs w:val="36"/>
        </w:rPr>
        <w:t xml:space="preserve"> на территории </w:t>
      </w:r>
      <w:r>
        <w:rPr>
          <w:rFonts w:ascii="Times New Roman" w:hAnsi="Times New Roman"/>
          <w:sz w:val="36"/>
          <w:szCs w:val="36"/>
        </w:rPr>
        <w:t>муниципального образования «Северо-Байкальский район»</w:t>
      </w:r>
    </w:p>
    <w:p>
      <w:pPr>
        <w:pStyle w:val="ConsPlusTitle"/>
        <w:widowControl/>
        <w:jc w:val="center"/>
        <w:rPr>
          <w:rFonts w:ascii="Times New Roman" w:hAnsi="Times New Roman"/>
          <w:b w:val="false"/>
          <w:caps/>
          <w:sz w:val="36"/>
          <w:szCs w:val="36"/>
        </w:rPr>
      </w:pPr>
      <w:r>
        <w:rPr>
          <w:rFonts w:ascii="Times New Roman" w:hAnsi="Times New Roman"/>
          <w:b w:val="false"/>
          <w:caps/>
          <w:sz w:val="36"/>
          <w:szCs w:val="36"/>
        </w:rPr>
      </w:r>
    </w:p>
    <w:p>
      <w:pPr>
        <w:pStyle w:val="Normal"/>
        <w:rPr>
          <w:rFonts w:ascii="Times New Roman" w:hAnsi="Times New Roman"/>
          <w:b w:val="false"/>
          <w:caps/>
          <w:sz w:val="36"/>
          <w:szCs w:val="36"/>
        </w:rPr>
      </w:pPr>
      <w:r>
        <w:rPr>
          <w:rFonts w:ascii="Times New Roman" w:hAnsi="Times New Roman"/>
          <w:b w:val="false"/>
          <w:caps/>
          <w:sz w:val="36"/>
          <w:szCs w:val="36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570"/>
      </w:tblGrid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делам ГО и ЧС администрации МО «Северо-Байкальский район»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Отчётный год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Дата составления отчета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29.03.2024г.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Непосредственный исполнитель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по делам ГО и ЧС администрации МО «Северо-Байкальский район» Шестаков Михаил Владимирович тел.: 8 (30130) 47-152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ind w:firstLine="145" w:left="4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ind w:firstLine="145" w:left="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ind w:firstLine="145" w:left="4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реализации муниципальной программы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«Северо-Байкальский район» на 2022-2026 гг.</w:t>
      </w:r>
    </w:p>
    <w:p>
      <w:pPr>
        <w:pStyle w:val="Normal"/>
        <w:tabs>
          <w:tab w:val="clear" w:pos="709"/>
          <w:tab w:val="left" w:pos="1418" w:leader="none"/>
        </w:tabs>
        <w:spacing w:lineRule="auto" w:line="240" w:before="0" w:after="0"/>
        <w:ind w:firstLine="145" w:left="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9"/>
          <w:tab w:val="left" w:pos="10155" w:leader="none"/>
        </w:tabs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Style w:val="5"/>
          <w:rFonts w:ascii="Times New Roman" w:hAnsi="Times New Roman"/>
          <w:sz w:val="26"/>
          <w:szCs w:val="26"/>
        </w:rPr>
        <w:t xml:space="preserve">муниципальной программой «Профилактика терроризма и экстремизма, </w:t>
      </w:r>
      <w:r>
        <w:rPr>
          <w:rFonts w:ascii="Times New Roman" w:hAnsi="Times New Roman"/>
          <w:sz w:val="26"/>
          <w:szCs w:val="26"/>
        </w:rPr>
        <w:t>а также минимизация и (или) ликвидация последствий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терроризма и экстремизма</w:t>
      </w:r>
      <w:r>
        <w:rPr>
          <w:rFonts w:ascii="Times New Roman" w:hAnsi="Times New Roman"/>
          <w:bCs/>
          <w:sz w:val="26"/>
          <w:szCs w:val="26"/>
        </w:rPr>
        <w:t xml:space="preserve"> на территории </w:t>
      </w:r>
      <w:r>
        <w:rPr>
          <w:rStyle w:val="5"/>
          <w:rFonts w:ascii="Times New Roman" w:hAnsi="Times New Roman"/>
          <w:sz w:val="26"/>
          <w:szCs w:val="26"/>
        </w:rPr>
        <w:t>муниципального образования «Северо-Байкальский район» в 2022-2026 г.г. реализованы следующие ц</w:t>
      </w:r>
      <w:r>
        <w:rPr>
          <w:rStyle w:val="5"/>
          <w:rFonts w:cs="Times New Roman" w:ascii="Times New Roman" w:hAnsi="Times New Roman"/>
          <w:sz w:val="26"/>
          <w:szCs w:val="26"/>
        </w:rPr>
        <w:t>ели и задачи программы:</w:t>
      </w:r>
    </w:p>
    <w:p>
      <w:pPr>
        <w:pStyle w:val="Normal"/>
        <w:tabs>
          <w:tab w:val="clear" w:pos="709"/>
          <w:tab w:val="left" w:pos="10155" w:leader="none"/>
        </w:tabs>
        <w:spacing w:lineRule="auto" w:line="240"/>
        <w:jc w:val="both"/>
        <w:rPr/>
      </w:pPr>
      <w:r>
        <w:rPr>
          <w:rStyle w:val="5"/>
          <w:rFonts w:ascii="Times New Roman" w:hAnsi="Times New Roman"/>
          <w:sz w:val="26"/>
          <w:szCs w:val="26"/>
        </w:rPr>
        <w:t>1) формирование системы профилактики терроризма и экстремизма на территории МО «Северо-Байкальский район».</w:t>
      </w:r>
    </w:p>
    <w:p>
      <w:pPr>
        <w:pStyle w:val="Normal"/>
        <w:tabs>
          <w:tab w:val="clear" w:pos="709"/>
          <w:tab w:val="left" w:pos="10155" w:leader="none"/>
        </w:tabs>
        <w:jc w:val="both"/>
        <w:rPr/>
      </w:pPr>
      <w:r>
        <w:rPr>
          <w:rStyle w:val="5"/>
          <w:rFonts w:ascii="Times New Roman" w:hAnsi="Times New Roman"/>
          <w:sz w:val="26"/>
          <w:szCs w:val="26"/>
        </w:rPr>
        <w:t>2) противодействие терроризму, экстремизму и обеспечение безопасности граждан, проживающих на территории МО «Северо-Байкальский район».</w:t>
      </w:r>
    </w:p>
    <w:p>
      <w:pPr>
        <w:pStyle w:val="Normal"/>
        <w:tabs>
          <w:tab w:val="clear" w:pos="709"/>
          <w:tab w:val="left" w:pos="1015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015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Финансирование по мероприятиям </w:t>
      </w:r>
      <w:r>
        <w:rPr>
          <w:rStyle w:val="5"/>
          <w:rFonts w:cs="Times New Roman"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cs="Times New Roman" w:ascii="Times New Roman" w:hAnsi="Times New Roman"/>
          <w:sz w:val="26"/>
          <w:szCs w:val="26"/>
        </w:rPr>
        <w:t>в 2023 году не проводились, при этом мероприятия проведены в соответствии с планом.</w:t>
      </w:r>
    </w:p>
    <w:p>
      <w:pPr>
        <w:pStyle w:val="Normal"/>
        <w:tabs>
          <w:tab w:val="clear" w:pos="709"/>
          <w:tab w:val="left" w:pos="10155" w:leader="none"/>
        </w:tabs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sz w:val="26"/>
          <w:szCs w:val="26"/>
        </w:rPr>
      </w:pPr>
      <w:r>
        <w:rPr>
          <w:rFonts w:eastAsia="Arial" w:ascii="Times New Roman" w:hAnsi="Times New Roman"/>
          <w:b/>
          <w:bCs/>
          <w:w w:val="110"/>
          <w:sz w:val="26"/>
          <w:szCs w:val="26"/>
        </w:rPr>
        <w:t xml:space="preserve">Перечень мероприятий и ресурсное обеспечение по программе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01. Изготовление и распространение в местах массового пребывания людей информационных материалов (листовок, памяток, плакатов, баннеров) по вопросам противодействия терроризму и экстремизму, в том числе на объектах транспорта.</w:t>
      </w:r>
    </w:p>
    <w:p>
      <w:pPr>
        <w:pStyle w:val="Normal"/>
        <w:widowControl w:val="false"/>
        <w:spacing w:lineRule="atLeast" w:line="10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 мониторинг и анализ политических и социально-экономических процессов, проходящих в муниципальном образовании, оказывающих влияние на ситуацию в сфере противодействия экстремизму, терроризму и профилактики межнациональных конфликтов;</w:t>
      </w:r>
    </w:p>
    <w:p>
      <w:pPr>
        <w:pStyle w:val="Normal"/>
        <w:widowControl w:val="false"/>
        <w:spacing w:lineRule="atLeast" w:line="10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проведена беседа с населением на тему: «Противодействие экстремизму, профилактика терроризма, межнациональные отношения и предупреждение конфликтов; гармонизация межнациональных отношений»;</w:t>
      </w:r>
    </w:p>
    <w:p>
      <w:pPr>
        <w:pStyle w:val="Normal"/>
        <w:widowControl w:val="false"/>
        <w:spacing w:lineRule="atLeast" w:line="10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Администрацией </w:t>
      </w:r>
      <w:r>
        <w:rPr>
          <w:rFonts w:cs="Times New Roman" w:ascii="Times New Roman" w:hAnsi="Times New Roman"/>
          <w:sz w:val="26"/>
          <w:szCs w:val="26"/>
        </w:rPr>
        <w:t xml:space="preserve">муниципального образования «Северо-Байкальский район» </w:t>
      </w:r>
      <w:r>
        <w:rPr>
          <w:rFonts w:ascii="Times New Roman" w:hAnsi="Times New Roman"/>
          <w:sz w:val="26"/>
          <w:szCs w:val="26"/>
        </w:rPr>
        <w:t>постоянно ведется выявление и прогнозирование процессов, происходящих в сфере межнациональных и межконфессиональных отношений, выявление формальных лидеров национальных диаспор на территории района.</w:t>
      </w:r>
    </w:p>
    <w:p>
      <w:pPr>
        <w:pStyle w:val="Normal"/>
        <w:widowControl w:val="false"/>
        <w:spacing w:lineRule="atLeast" w:line="10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результатами реализации Программы является отсутствие преступлений террористической направленности на территории Северо-Байкальского района, а также фактов (уголовных дел) распространения экстремистских и террористических материалов. </w:t>
      </w:r>
    </w:p>
    <w:p>
      <w:pPr>
        <w:pStyle w:val="ConsPlusCell"/>
        <w:shd w:val="clear" w:color="auto" w:fill="FFFFFF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районной газете «Байкальский меридиан» были опубликованы следующие статьи: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№22 (762), 09.06.2023 Памятка. Будьте Бдительны! Терроризм еще не побежден.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№33 (773), 25.08.2023 Действия граждан при угрозе совершения теракта и захвате заложников.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№42 (782) 27.10.2023 Антитеррор: памятка поведения для граждан.</w:t>
      </w:r>
    </w:p>
    <w:p>
      <w:pPr>
        <w:pStyle w:val="Normal"/>
        <w:shd w:val="clear" w:color="auto" w:fill="FFFFFF"/>
        <w:spacing w:lineRule="atLeast" w:line="273" w:before="0" w:after="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МКУ «Управление образования МО «Северо-Байкальский район» проведены совещания, (круглые столы) с ответственными за проведение работы по линии антитеррористической защищенности объекта. Совместно с ГАУ Республики Бурятия «Молодежный центр» министерства спорта и молодежной политики Республики Бурятия (28.11.2023г.) проведен онлайн семинар по актуальным проблемам профилактики терроризма и экстремизма в молодежной среде.</w:t>
      </w:r>
    </w:p>
    <w:p>
      <w:pPr>
        <w:pStyle w:val="Normal"/>
        <w:widowControl w:val="false"/>
        <w:spacing w:lineRule="atLeast" w:line="10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Отсутствуют радикально настроенные группы населения. Усилен контроль за оперативной обстановкой в районе. В молодежной среде сформировано стойкое неприятие к идеологии терроризма, нетерпимости ко всем фактам террористических и экстремистских проявлений. Сформировано межэтническое согласие и толерантность.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sz w:val="26"/>
          <w:szCs w:val="26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Программа «Профилактика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«Северо-Байкальский район».</w:t>
      </w:r>
    </w:p>
    <w:p>
      <w:pPr>
        <w:pStyle w:val="Normal"/>
        <w:spacing w:lineRule="auto" w:line="240" w:before="0" w:after="0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Общая оценка состояния межнациональных и этноконфессиональных отношений</w:t>
      </w:r>
    </w:p>
    <w:p>
      <w:pPr>
        <w:pStyle w:val="Normal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Состояние межнациональных и этноконфессиональных отношений на территории муниципального образования «Северо-Байкальский район»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стабильные, межнациональных и этноконфессиональных противоречий, в том числе на бытовой основе, не имеется, отсутствуют предпосылки к возникновению межэтнических конфликтных ситуаций.</w:t>
      </w:r>
    </w:p>
    <w:p>
      <w:pPr>
        <w:pStyle w:val="Normal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Массовых протестных акций, вызванных межэтническими и этноконфессиональными проблемами, межэтнических столкновений в 2023 году на территории муниципального образования не зарегистрировано.</w:t>
      </w:r>
    </w:p>
    <w:p>
      <w:pPr>
        <w:pStyle w:val="Normal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2023 году на территории муниципального образования бытовых конфликтов и происшествий, способных привести к столкновениям на национальной или религиозной почве не зарегистрировано.</w:t>
      </w:r>
    </w:p>
    <w:p>
      <w:pPr>
        <w:pStyle w:val="Normal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Факты проявления этнического и религиозного экстремизма в 2023 году на территории муниципального образования не зарегистрированы.</w:t>
      </w:r>
    </w:p>
    <w:p>
      <w:pPr>
        <w:pStyle w:val="Normal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 Прогноз межнациональной и этноконфессиональной ситуации на 2024 год благоприятный, сохранятся стабильные межнациональные и этноконфессиональные отношения на территории муниципального образования.</w:t>
      </w:r>
    </w:p>
    <w:p>
      <w:pPr>
        <w:pStyle w:val="Normal"/>
        <w:widowControl w:val="false"/>
        <w:spacing w:lineRule="atLeast" w:line="100" w:before="0" w:after="0"/>
        <w:ind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Учитывая изложенное, считаем реализуемую Программу эффективной.</w:t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515" w:right="416" w:gutter="0" w:header="0" w:top="426" w:footer="0" w:bottom="709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25"/>
        <w:ind w:hanging="0" w:left="0"/>
        <w:jc w:val="center"/>
        <w:textAlignment w:val="baseline"/>
        <w:outlineLvl w:val="3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pacing w:val="2"/>
          <w:sz w:val="26"/>
          <w:szCs w:val="26"/>
          <w:shd w:fill="auto" w:val="clear"/>
          <w:lang w:eastAsia="ru-RU"/>
        </w:rPr>
        <w:t>Расчет интегральной оценки эффективности реализации муниципальной программы</w:t>
      </w:r>
    </w:p>
    <w:p>
      <w:pPr>
        <w:pStyle w:val="Normal"/>
        <w:shd w:val="clear" w:fill="FFFFFF"/>
        <w:spacing w:lineRule="atLeast" w:line="31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0"/>
          <w:szCs w:val="20"/>
          <w:lang w:eastAsia="ru-RU"/>
        </w:rPr>
        <w:t xml:space="preserve">Таблица N </w:t>
      </w:r>
      <w:r>
        <w:rPr>
          <w:sz w:val="20"/>
          <w:szCs w:val="20"/>
        </w:rPr>
        <w:t>1</w:t>
      </w:r>
    </w:p>
    <w:tbl>
      <w:tblPr>
        <w:tblW w:w="14992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494"/>
        <w:gridCol w:w="1817"/>
        <w:gridCol w:w="552"/>
        <w:gridCol w:w="1393"/>
        <w:gridCol w:w="989"/>
        <w:gridCol w:w="1336"/>
        <w:gridCol w:w="1336"/>
        <w:gridCol w:w="1310"/>
        <w:gridCol w:w="1417"/>
        <w:gridCol w:w="1418"/>
        <w:gridCol w:w="1276"/>
        <w:gridCol w:w="1653"/>
      </w:tblGrid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целевого индикатора муниципальной программы &lt;*&gt;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Планируемый показатель в пределах доведенных бюджетных ассигнований на текущий финансовый год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Фактическое значение целевого индикатора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оценки выполнения целевого индикатора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Ст.5/ст.4*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  &lt;1&gt;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Степень выполнения индикатора (U)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финансирования (бюджетные ассигнования на очередной финансовый год)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финансирования (кассовое исполнение)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114" w:after="114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Уровень финобеспечения (Vфин)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25"/>
              <w:ind w:hanging="0" w:left="-284" w:right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spacing w:val="2"/>
                <w:sz w:val="16"/>
                <w:szCs w:val="16"/>
                <w:lang w:eastAsia="ru-RU"/>
              </w:rPr>
              <w:t>Vфин = Vf / Vp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Интегральная оценка эффективности (R)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25"/>
              <w:ind w:hanging="0" w:left="-284" w:right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spacing w:val="2"/>
                <w:sz w:val="16"/>
                <w:szCs w:val="16"/>
                <w:lang w:eastAsia="ru-RU"/>
              </w:rPr>
              <w:t xml:space="preserve"> = U / Vфин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0"/>
                <w:szCs w:val="20"/>
                <w:lang w:eastAsia="ru-RU"/>
              </w:rPr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Качественная оценка реализации муниципальной программы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(R &gt; 0,8 эффективная)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(0,6 &lt; R &lt;= 0,8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недостаточно эффективная)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(R &lt;= 0,6 неэффективная)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0"/>
                <w:szCs w:val="20"/>
                <w:lang w:eastAsia="ru-RU"/>
              </w:rPr>
              <w:t>Программа 1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Целевой показатель (индикатор)</w:t>
            </w:r>
          </w:p>
          <w:p>
            <w:pPr>
              <w:pStyle w:val="ConsPlusCell"/>
              <w:shd w:val="clear" w:color="auto" w:fill="FFFFFF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2"/>
                <w:sz w:val="16"/>
                <w:szCs w:val="16"/>
                <w:lang w:eastAsia="ru-RU"/>
              </w:rPr>
              <w:t>Up = npv / np*100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pacing w:val="2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2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2"/>
                <w:sz w:val="18"/>
                <w:szCs w:val="18"/>
                <w:lang w:eastAsia="ru-RU"/>
              </w:rPr>
              <w:t>U = ∑Ug / n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2"/>
                <w:sz w:val="18"/>
                <w:szCs w:val="18"/>
                <w:lang w:eastAsia="ru-RU"/>
              </w:rPr>
              <w:t>Vфин = Vf / Vp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2"/>
                <w:sz w:val="18"/>
                <w:szCs w:val="18"/>
                <w:lang w:eastAsia="ru-RU"/>
              </w:rPr>
              <w:t xml:space="preserve"> = U / Vфин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  <w:lang w:val="en-US" w:eastAsia="ru-RU"/>
              </w:rPr>
              <w:t>1</w:t>
            </w:r>
          </w:p>
        </w:tc>
      </w:tr>
    </w:tbl>
    <w:p>
      <w:pPr>
        <w:sectPr>
          <w:type w:val="nextPage"/>
          <w:pgSz w:orient="landscape" w:w="16838" w:h="11906"/>
          <w:pgMar w:left="992" w:right="709" w:gutter="0" w:header="0" w:top="567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  <w:lang w:eastAsia="ru-RU"/>
        </w:rPr>
        <w:t>Оценка эффективности реализации муниципальной программы</w:t>
      </w:r>
    </w:p>
    <w:p>
      <w:pPr>
        <w:pStyle w:val="Normal"/>
        <w:shd w:val="clear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Таблица N 2</w:t>
      </w:r>
    </w:p>
    <w:tbl>
      <w:tblPr>
        <w:tblW w:w="9555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4904"/>
        <w:gridCol w:w="4650"/>
      </w:tblGrid>
      <w:tr>
        <w:trPr/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Численное значение интегральной оценки эффективности реализации муниципальной программы (R)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Качественная характеристика муниципальной программы</w:t>
            </w:r>
          </w:p>
        </w:tc>
      </w:tr>
      <w:tr>
        <w:trPr/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R &gt; 0,8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эффективная</w:t>
            </w:r>
          </w:p>
        </w:tc>
      </w:tr>
      <w:tr>
        <w:trPr/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0,6 &lt; R &lt;= 0,8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недостаточно эффективная</w:t>
            </w:r>
          </w:p>
        </w:tc>
      </w:tr>
      <w:tr>
        <w:trPr/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R &lt;= 0,6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неэффективная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  <w:lang w:eastAsia="ru-RU"/>
        </w:rPr>
        <w:t>Оценка полноты использования бюджетных ассигнований на реализацию подпрограммы</w:t>
      </w:r>
    </w:p>
    <w:p>
      <w:pPr>
        <w:pStyle w:val="Normal"/>
        <w:shd w:val="clear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Таблица N 3</w:t>
      </w:r>
    </w:p>
    <w:tbl>
      <w:tblPr>
        <w:tblW w:w="9585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4965"/>
        <w:gridCol w:w="4619"/>
      </w:tblGrid>
      <w:tr>
        <w:trPr/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Характеристика использования бюджетных ассигнований на реализацию подпрограммы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оценки полноты использования бюджетных ассигнований на реализацию подпрограммы</w:t>
            </w:r>
          </w:p>
        </w:tc>
      </w:tr>
      <w:tr>
        <w:trPr/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отчетного периода произошло увеличение бюджетных ассигнований более чем на 5% от первоначально запланированного объема средств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значительных дополнительных ассигнований</w:t>
            </w:r>
          </w:p>
        </w:tc>
      </w:tr>
      <w:tr>
        <w:trPr/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отчетного периода произошло увеличение бюджетных ассигнований до 5% от первоначально запланированного объема средств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дополнительных ассигнований</w:t>
            </w:r>
          </w:p>
        </w:tc>
      </w:tr>
      <w:tr>
        <w:trPr/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бюджетных ассигнований в пределах от 98% до 100% от первоначально запланированного объема средств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использование</w:t>
            </w:r>
          </w:p>
        </w:tc>
      </w:tr>
      <w:tr>
        <w:trPr/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бюджетных ассигнований в пределах от 90% до 98% от первоначально запланированного объема средств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Неполное использование (экономия)</w:t>
            </w:r>
          </w:p>
        </w:tc>
      </w:tr>
      <w:tr>
        <w:trPr/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бюджетных ассигнований менее чем на 90% от первоначально запланированного объема средств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Значительные объемы ассигнований не использованы (значительная экономия)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  <w:lang w:eastAsia="ru-RU"/>
        </w:rPr>
        <w:t>Шкала динамики эффективности муниципальных программ</w:t>
      </w:r>
    </w:p>
    <w:p>
      <w:pPr>
        <w:pStyle w:val="Normal"/>
        <w:shd w:val="clear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Таблица N 4</w:t>
      </w:r>
    </w:p>
    <w:tbl>
      <w:tblPr>
        <w:tblW w:w="9585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5880"/>
        <w:gridCol w:w="3704"/>
      </w:tblGrid>
      <w:tr>
        <w:trPr/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Соотношение интегральной оценки эффективности реализации муниципальной программы (R) за отчетный год и оценки эффективности реализации муниципальной программы (R0пр) за предшествующий год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Вывод о динамике эффективности реализации муниципальной программы</w:t>
            </w:r>
          </w:p>
        </w:tc>
      </w:tr>
      <w:tr>
        <w:trPr/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R &lt; R0пр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снизилась</w:t>
            </w:r>
          </w:p>
        </w:tc>
      </w:tr>
      <w:tr>
        <w:trPr/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R = R0пр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осталась на уровне предшествующего года</w:t>
            </w:r>
          </w:p>
        </w:tc>
      </w:tr>
      <w:tr>
        <w:trPr/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R &gt; R0пр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возросла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 w:cs="Times New Roman"/>
          <w:spacing w:val="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16"/>
          <w:szCs w:val="1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  <w:lang w:eastAsia="ru-RU"/>
        </w:rPr>
        <w:t>Сводная форма по оценке эффективности муниципальной программы</w:t>
      </w:r>
    </w:p>
    <w:p>
      <w:pPr>
        <w:pStyle w:val="Normal"/>
        <w:shd w:val="clear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t>Таблица N 5</w:t>
      </w:r>
    </w:p>
    <w:p>
      <w:pPr>
        <w:pStyle w:val="Normal"/>
        <w:shd w:val="clear" w:fill="FFFFFF"/>
        <w:spacing w:lineRule="auto" w:line="240" w:before="0" w:after="0"/>
        <w:jc w:val="both"/>
        <w:textAlignment w:val="baseline"/>
        <w:rPr/>
      </w:pPr>
      <w:r>
        <w:rPr>
          <w:b w:val="false"/>
          <w:bCs w:val="false"/>
          <w:i w:val="false"/>
          <w:iCs w:val="false"/>
        </w:rPr>
        <w:t>Н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аименование муниципальной программы:</w:t>
      </w:r>
      <w:r>
        <w:rPr>
          <w:rFonts w:ascii="Times New Roman" w:hAnsi="Times New Roman"/>
        </w:rPr>
        <w:t xml:space="preserve"> </w:t>
      </w:r>
      <w:r>
        <w:rPr>
          <w:rStyle w:val="5"/>
          <w:rFonts w:ascii="Times New Roman" w:hAnsi="Times New Roman"/>
          <w:sz w:val="21"/>
          <w:szCs w:val="21"/>
          <w:u w:val="single"/>
        </w:rPr>
        <w:t xml:space="preserve">Профилактика терроризма и экстремизма, </w:t>
      </w:r>
      <w:r>
        <w:rPr>
          <w:rFonts w:ascii="Times New Roman" w:hAnsi="Times New Roman"/>
          <w:sz w:val="21"/>
          <w:szCs w:val="21"/>
          <w:u w:val="single"/>
        </w:rPr>
        <w:t>а также минимизация и (или) ликвидация последствий</w:t>
      </w:r>
      <w:r>
        <w:rPr>
          <w:rFonts w:ascii="Times New Roman" w:hAnsi="Times New Roman"/>
          <w:bCs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>терроризма и экстремизма</w:t>
      </w:r>
      <w:r>
        <w:rPr>
          <w:rFonts w:ascii="Times New Roman" w:hAnsi="Times New Roman"/>
          <w:bCs/>
          <w:sz w:val="21"/>
          <w:szCs w:val="21"/>
          <w:u w:val="single"/>
        </w:rPr>
        <w:t xml:space="preserve"> на территории </w:t>
      </w:r>
      <w:r>
        <w:rPr>
          <w:rStyle w:val="5"/>
          <w:rFonts w:ascii="Times New Roman" w:hAnsi="Times New Roman"/>
          <w:sz w:val="21"/>
          <w:szCs w:val="21"/>
          <w:u w:val="single"/>
        </w:rPr>
        <w:t>муниципального образования «Северо-Байкальский район»</w:t>
      </w:r>
    </w:p>
    <w:p>
      <w:pPr>
        <w:pStyle w:val="Normal"/>
        <w:shd w:val="clear" w:fill="FFFFFF"/>
        <w:spacing w:lineRule="auto" w:line="240" w:before="0" w:after="0"/>
        <w:jc w:val="both"/>
        <w:textAlignment w:val="baseline"/>
        <w:rPr>
          <w:rStyle w:val="5"/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</w:p>
    <w:tbl>
      <w:tblPr>
        <w:tblW w:w="9615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1965"/>
        <w:gridCol w:w="1920"/>
        <w:gridCol w:w="2100"/>
        <w:gridCol w:w="2034"/>
        <w:gridCol w:w="1596"/>
      </w:tblGrid>
      <w:tr>
        <w:trPr/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Численное значение интегральной оценки (R) за отчетный год, %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Качественная характеристика муниципальной программы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Численное значение интегральной оценки (R0пр) за предшествующий год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Вывод о динамике эффективности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>
        <w:trPr/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</w:tr>
      <w:tr>
        <w:trPr/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эффективная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эффективная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1"/>
                <w:szCs w:val="21"/>
                <w:lang w:eastAsia="ru-RU"/>
              </w:rPr>
              <w:t>—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b/>
          <w:spacing w:val="2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14"/>
          <w:szCs w:val="1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  <w:lang w:eastAsia="ru-RU"/>
        </w:rPr>
        <w:t>Результаты оценки эффективности реализации муниципальных программ за 2024 год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spacing w:val="2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Таблица N 6</w:t>
      </w:r>
    </w:p>
    <w:tbl>
      <w:tblPr>
        <w:tblW w:w="9645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1515"/>
        <w:gridCol w:w="975"/>
        <w:gridCol w:w="1123"/>
        <w:gridCol w:w="1636"/>
        <w:gridCol w:w="921"/>
        <w:gridCol w:w="805"/>
        <w:gridCol w:w="875"/>
        <w:gridCol w:w="654"/>
        <w:gridCol w:w="1140"/>
      </w:tblGrid>
      <w:tr>
        <w:trPr/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Период реализации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Уровень финансового обеспечения муниципальной программы в отчетном году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Интегральная оценка эффективности реализации муниципальной программы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Качественная оценка реализации муниципальной программы (эффективная, недостаточно эффективная, неэффективная)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>
        <w:trPr/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 отчетный период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 предыдущий год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 отчетный период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 предыдущий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</w:tr>
      <w:tr>
        <w:trPr/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pacing w:val="-8"/>
                <w:sz w:val="21"/>
                <w:szCs w:val="21"/>
              </w:rPr>
              <w:t>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«Северо-Байкальский район»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2022 — 2026 г.г.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Отдел по делам ГО и ЧС АМО «Северо-Байкальский район»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эффективная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эффективная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 w:eastAsia="Arial" w:cs="Times New Roman"/>
          <w:b/>
          <w:bCs/>
          <w:w w:val="110"/>
          <w:sz w:val="26"/>
          <w:szCs w:val="26"/>
        </w:rPr>
      </w:pPr>
      <w:r>
        <w:rPr>
          <w:rFonts w:eastAsia="Arial" w:cs="Times New Roman" w:ascii="Times New Roman" w:hAnsi="Times New Roman"/>
          <w:b/>
          <w:bCs/>
          <w:w w:val="110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/>
      </w:pPr>
      <w:r>
        <w:rPr>
          <w:rFonts w:eastAsia="Arial" w:cs="Times New Roman" w:ascii="Times New Roman" w:hAnsi="Times New Roman"/>
          <w:b w:val="false"/>
          <w:bCs w:val="false"/>
          <w:w w:val="110"/>
          <w:sz w:val="28"/>
          <w:szCs w:val="28"/>
        </w:rPr>
        <w:t xml:space="preserve">Начальник отдела по делам ГО и ЧС </w:t>
        <w:tab/>
        <w:tab/>
        <w:tab/>
        <w:tab/>
        <w:tab/>
        <w:t xml:space="preserve">М.В. Шестаков </w:t>
      </w:r>
    </w:p>
    <w:sectPr>
      <w:type w:val="nextPage"/>
      <w:pgSz w:w="11906" w:h="16838"/>
      <w:pgMar w:left="1701" w:right="335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a359f9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paragraph" w:styleId="Heading1">
    <w:name w:val="Heading 1"/>
    <w:basedOn w:val="Normal"/>
    <w:next w:val="BodyText"/>
    <w:qFormat/>
    <w:pPr>
      <w:numPr>
        <w:ilvl w:val="0"/>
        <w:numId w:val="2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/>
    </w:rPr>
  </w:style>
  <w:style w:type="paragraph" w:styleId="Heading3">
    <w:name w:val="Heading 3"/>
    <w:basedOn w:val="Normal"/>
    <w:next w:val="BodyText"/>
    <w:qFormat/>
    <w:pPr>
      <w:spacing w:before="280" w:after="280"/>
      <w:outlineLvl w:val="2"/>
    </w:pPr>
    <w:rPr>
      <w:rFonts w:ascii="Franklin Gothic Medium" w:hAnsi="Franklin Gothic Medium" w:cs="Franklin Gothic Medium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"/>
    <w:qFormat/>
    <w:rsid w:val="00a359f9"/>
    <w:rPr/>
  </w:style>
  <w:style w:type="character" w:styleId="2" w:customStyle="1">
    <w:name w:val="Основной текст (2)"/>
    <w:qFormat/>
    <w:rsid w:val="00a359f9"/>
    <w:rPr/>
  </w:style>
  <w:style w:type="character" w:styleId="211pt" w:customStyle="1">
    <w:name w:val="Основной текст (2) + 11 pt"/>
    <w:qFormat/>
    <w:rsid w:val="00a359f9"/>
    <w:rPr/>
  </w:style>
  <w:style w:type="character" w:styleId="Hyperlink">
    <w:name w:val="Hyperlink"/>
    <w:rPr>
      <w:color w:val="000080"/>
      <w:u w:val="single"/>
    </w:rPr>
  </w:style>
  <w:style w:type="character" w:styleId="Style12">
    <w:name w:val="Символ нумерации"/>
    <w:qFormat/>
    <w:rPr/>
  </w:style>
  <w:style w:type="character" w:styleId="3">
    <w:name w:val="Заголовок 3 Знак"/>
    <w:qFormat/>
    <w:rPr>
      <w:rFonts w:ascii="Franklin Gothic Medium" w:hAnsi="Franklin Gothic Medium" w:cs="Franklin Gothic Medium"/>
      <w:sz w:val="27"/>
      <w:szCs w:val="27"/>
      <w:lang w:val="ru-RU" w:bidi="ar-SA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 w:customStyle="1">
    <w:name w:val="реквизитПодпись"/>
    <w:basedOn w:val="Normal"/>
    <w:qFormat/>
    <w:rsid w:val="00a359f9"/>
    <w:pPr/>
    <w:rPr/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C269-E6EE-4CC9-8914-4E4650B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LibreOffice/7.6.4.1$Windows_X86_64 LibreOffice_project/e19e193f88cd6c0525a17fb7a176ed8e6a3e2aa1</Application>
  <AppVersion>15.0000</AppVersion>
  <Pages>6</Pages>
  <Words>1152</Words>
  <Characters>8548</Characters>
  <CharactersWithSpaces>9884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2023-01-17T06:46:00Z</dcterms:created>
  <dc:creator>Tin</dc:creator>
  <dc:description/>
  <dc:language>ru-RU</dc:language>
  <cp:lastModifiedBy/>
  <cp:lastPrinted>2024-04-11T12:09:27Z</cp:lastPrinted>
  <dcterms:modified xsi:type="dcterms:W3CDTF">2024-04-11T13:50:00Z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