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4.25pt;height:52.5pt;mso-wrap-distance-right:0pt" filled="f" o:ole="">
            <v:imagedata r:id="rId3" o:title=""/>
          </v:shape>
          <o:OLEObject Type="Embed" ProgID="CorelDRAW.Graphic.6" ShapeID="ole_rId2" DrawAspect="Content" ObjectID="_1593126667" r:id="rId2"/>
        </w:object>
      </w:r>
    </w:p>
    <w:p>
      <w:pPr>
        <w:pStyle w:val="Title"/>
        <w:jc w:val="left"/>
        <w:rPr>
          <w:i/>
          <w:i/>
          <w:sz w:val="28"/>
          <w:szCs w:val="28"/>
        </w:rPr>
      </w:pPr>
      <w:r>
        <mc:AlternateContent>
          <mc:Choice Requires="wps">
            <w:drawing>
              <wp:anchor behindDoc="0" distT="635" distB="635" distL="635" distR="635" simplePos="0" locked="0" layoutInCell="1" allowOverlap="1" relativeHeight="2" wp14:anchorId="727F3AFE">
                <wp:simplePos x="0" y="0"/>
                <wp:positionH relativeFrom="column">
                  <wp:posOffset>-97155</wp:posOffset>
                </wp:positionH>
                <wp:positionV relativeFrom="paragraph">
                  <wp:posOffset>31750</wp:posOffset>
                </wp:positionV>
                <wp:extent cx="6127750" cy="571500"/>
                <wp:effectExtent l="635" t="635" r="635" b="635"/>
                <wp:wrapNone/>
                <wp:docPr id="1" name="Text Box 2"/>
                <a:graphic xmlns:a="http://schemas.openxmlformats.org/drawingml/2006/main">
                  <a:graphicData uri="http://schemas.microsoft.com/office/word/2010/wordprocessingShape">
                    <wps:wsp>
                      <wps:cNvSpPr/>
                      <wps:spPr>
                        <a:xfrm>
                          <a:off x="0" y="0"/>
                          <a:ext cx="6127920" cy="57168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23"/>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wps:txbx>
                      <wps:bodyPr anchor="t" upright="1">
                        <a:noAutofit/>
                      </wps:bodyPr>
                    </wps:wsp>
                  </a:graphicData>
                </a:graphic>
              </wp:anchor>
            </w:drawing>
          </mc:Choice>
          <mc:Fallback>
            <w:pict>
              <v:rect id="shape_0" ID="Text Box 2" path="m0,0l-2147483645,0l-2147483645,-2147483646l0,-2147483646xe" fillcolor="white" stroked="t" o:allowincell="f" style="position:absolute;margin-left:-7.65pt;margin-top:2.5pt;width:482.45pt;height:44.95pt;mso-wrap-style:square;v-text-anchor:top" wp14:anchorId="727F3AFE">
                <v:fill o:detectmouseclick="t" type="solid" color2="black" opacity="0.5"/>
                <v:stroke color="white" joinstyle="round" endcap="flat"/>
                <v:textbox>
                  <w:txbxContent>
                    <w:p>
                      <w:pPr>
                        <w:pStyle w:val="Style23"/>
                        <w:jc w:val="center"/>
                        <w:rPr>
                          <w:b/>
                          <w:sz w:val="28"/>
                          <w:szCs w:val="28"/>
                        </w:rPr>
                      </w:pPr>
                      <w:r>
                        <w:rPr>
                          <w:b/>
                          <w:color w:val="000000"/>
                          <w:sz w:val="28"/>
                          <w:szCs w:val="28"/>
                        </w:rPr>
                        <w:t>Буряад Республикын «Хойто-Байгалай аймаг» гэhэн муниципальна байгууламжын захиргаан</w:t>
                      </w:r>
                    </w:p>
                  </w:txbxContent>
                </v:textbox>
                <w10:wrap type="none"/>
              </v:rect>
            </w:pict>
          </mc:Fallback>
        </mc:AlternateContent>
      </w:r>
      <w:r>
        <w:rPr>
          <w:sz w:val="28"/>
          <w:szCs w:val="28"/>
        </w:rPr>
        <w:t xml:space="preserve"> </w:t>
      </w:r>
    </w:p>
    <w:p>
      <w:pPr>
        <w:pStyle w:val="Title"/>
        <w:jc w:val="left"/>
        <w:rPr>
          <w:i/>
          <w:i/>
          <w:sz w:val="28"/>
          <w:szCs w:val="28"/>
        </w:rPr>
      </w:pPr>
      <w:r>
        <w:rPr>
          <w:i/>
          <w:sz w:val="28"/>
          <w:szCs w:val="28"/>
        </w:rPr>
      </w:r>
    </w:p>
    <w:p>
      <w:pPr>
        <w:pStyle w:val="Title"/>
        <w:jc w:val="left"/>
        <w:rPr>
          <w:i/>
          <w:i/>
          <w:sz w:val="28"/>
          <w:szCs w:val="28"/>
        </w:rPr>
      </w:pPr>
      <w:r>
        <w:rPr>
          <w:i/>
          <w:sz w:val="28"/>
          <w:szCs w:val="28"/>
        </w:rPr>
        <mc:AlternateContent>
          <mc:Choice Requires="wps">
            <w:drawing>
              <wp:anchor behindDoc="0" distT="635" distB="635" distL="635" distR="635" simplePos="0" locked="0" layoutInCell="1" allowOverlap="1" relativeHeight="6" wp14:anchorId="269DC3DD">
                <wp:simplePos x="0" y="0"/>
                <wp:positionH relativeFrom="column">
                  <wp:posOffset>-97155</wp:posOffset>
                </wp:positionH>
                <wp:positionV relativeFrom="paragraph">
                  <wp:posOffset>80010</wp:posOffset>
                </wp:positionV>
                <wp:extent cx="6127750" cy="520700"/>
                <wp:effectExtent l="635" t="635" r="635" b="635"/>
                <wp:wrapNone/>
                <wp:docPr id="2" name="Text Box 5"/>
                <a:graphic xmlns:a="http://schemas.openxmlformats.org/drawingml/2006/main">
                  <a:graphicData uri="http://schemas.microsoft.com/office/word/2010/wordprocessingShape">
                    <wps:wsp>
                      <wps:cNvSpPr/>
                      <wps:spPr>
                        <a:xfrm>
                          <a:off x="0" y="0"/>
                          <a:ext cx="6127920" cy="52056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Title"/>
                              <w:rPr>
                                <w:b/>
                                <w:i/>
                                <w:i/>
                                <w:sz w:val="28"/>
                                <w:szCs w:val="28"/>
                              </w:rPr>
                            </w:pPr>
                            <w:r>
                              <w:rPr>
                                <w:b/>
                                <w:color w:val="000000"/>
                                <w:sz w:val="28"/>
                                <w:szCs w:val="28"/>
                              </w:rPr>
                              <w:t>Администрация муниципального образования «Северо-Байкальский район» Республики Бурятия</w:t>
                            </w:r>
                          </w:p>
                        </w:txbxContent>
                      </wps:txbx>
                      <wps:bodyPr anchor="t" upright="1">
                        <a:noAutofit/>
                      </wps:bodyPr>
                    </wps:wsp>
                  </a:graphicData>
                </a:graphic>
              </wp:anchor>
            </w:drawing>
          </mc:Choice>
          <mc:Fallback>
            <w:pict>
              <v:rect id="shape_0" ID="Text Box 5" path="m0,0l-2147483645,0l-2147483645,-2147483646l0,-2147483646xe" fillcolor="white" stroked="t" o:allowincell="f" style="position:absolute;margin-left:-7.65pt;margin-top:6.3pt;width:482.45pt;height:40.95pt;mso-wrap-style:square;v-text-anchor:top" wp14:anchorId="269DC3DD">
                <v:fill o:detectmouseclick="t" type="solid" color2="black" opacity="0.5"/>
                <v:stroke color="white" joinstyle="round" endcap="flat"/>
                <v:textbox>
                  <w:txbxContent>
                    <w:p>
                      <w:pPr>
                        <w:pStyle w:val="Title"/>
                        <w:rPr>
                          <w:b/>
                          <w:i/>
                          <w:i/>
                          <w:sz w:val="28"/>
                          <w:szCs w:val="28"/>
                        </w:rPr>
                      </w:pPr>
                      <w:r>
                        <w:rPr>
                          <w:b/>
                          <w:color w:val="000000"/>
                          <w:sz w:val="28"/>
                          <w:szCs w:val="28"/>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Title"/>
        <w:jc w:val="left"/>
        <w:rPr>
          <w:i/>
          <w:i/>
          <w:sz w:val="28"/>
          <w:szCs w:val="28"/>
        </w:rPr>
      </w:pPr>
      <w:r>
        <w:rPr>
          <w:i/>
          <w:sz w:val="28"/>
          <w:szCs w:val="28"/>
        </w:rPr>
      </w:r>
    </w:p>
    <w:p>
      <w:pPr>
        <w:pStyle w:val="Title"/>
        <w:jc w:val="left"/>
        <w:rPr>
          <w:i/>
          <w:i/>
          <w:sz w:val="28"/>
          <w:szCs w:val="28"/>
        </w:rPr>
      </w:pPr>
      <w:r>
        <w:rPr>
          <w:i/>
          <w:sz w:val="28"/>
          <w:szCs w:val="28"/>
        </w:rPr>
      </w:r>
    </w:p>
    <w:p>
      <w:pPr>
        <w:pStyle w:val="Title"/>
        <w:jc w:val="left"/>
        <w:rPr>
          <w:i/>
          <w:i/>
          <w:sz w:val="28"/>
          <w:szCs w:val="28"/>
        </w:rPr>
      </w:pPr>
      <w:r>
        <w:rPr>
          <w:i/>
          <w:sz w:val="28"/>
          <w:szCs w:val="28"/>
        </w:rPr>
        <mc:AlternateContent>
          <mc:Choice Requires="wps">
            <w:drawing>
              <wp:anchor behindDoc="0" distT="19050" distB="19050" distL="19685" distR="19050" simplePos="0" locked="0" layoutInCell="1" allowOverlap="1" relativeHeight="4" wp14:anchorId="1A0FB637">
                <wp:simplePos x="0" y="0"/>
                <wp:positionH relativeFrom="column">
                  <wp:posOffset>-97155</wp:posOffset>
                </wp:positionH>
                <wp:positionV relativeFrom="paragraph">
                  <wp:posOffset>27305</wp:posOffset>
                </wp:positionV>
                <wp:extent cx="6629400" cy="635"/>
                <wp:effectExtent l="19685" t="19050" r="19050" b="19050"/>
                <wp:wrapNone/>
                <wp:docPr id="3" name="Line 3"/>
                <a:graphic xmlns:a="http://schemas.openxmlformats.org/drawingml/2006/main">
                  <a:graphicData uri="http://schemas.microsoft.com/office/word/2010/wordprocessingShape">
                    <wps:wsp>
                      <wps:cNvSpPr/>
                      <wps:spPr>
                        <a:xfrm>
                          <a:off x="0" y="0"/>
                          <a:ext cx="6629400" cy="720"/>
                        </a:xfrm>
                        <a:prstGeom prst="line">
                          <a:avLst/>
                        </a:prstGeom>
                        <a:ln w="38100">
                          <a:solidFill>
                            <a:srgbClr val="ffff00"/>
                          </a:solidFill>
                          <a:round/>
                        </a:ln>
                      </wps:spPr>
                      <wps:style>
                        <a:lnRef idx="0"/>
                        <a:fillRef idx="0"/>
                        <a:effectRef idx="0"/>
                        <a:fontRef idx="minor"/>
                      </wps:style>
                      <wps:bodyPr/>
                    </wps:wsp>
                  </a:graphicData>
                </a:graphic>
              </wp:anchor>
            </w:drawing>
          </mc:Choice>
          <mc:Fallback>
            <w:pict>
              <v:line id="shape_0" from="-7.65pt,2.15pt" to="514.3pt,2.15pt" ID="Line 3" stroked="t" o:allowincell="f" style="position:absolute" wp14:anchorId="1A0FB637">
                <v:stroke color="yellow" weight="38160" joinstyle="round" endcap="flat"/>
                <v:fill o:detectmouseclick="t" on="false"/>
                <w10:wrap type="none"/>
              </v:line>
            </w:pict>
          </mc:Fallback>
        </mc:AlternateContent>
        <mc:AlternateContent>
          <mc:Choice Requires="wps">
            <w:drawing>
              <wp:anchor behindDoc="0" distT="19050" distB="19050" distL="19685" distR="19050" simplePos="0" locked="0" layoutInCell="1" allowOverlap="1" relativeHeight="5" wp14:anchorId="155B70F2">
                <wp:simplePos x="0" y="0"/>
                <wp:positionH relativeFrom="column">
                  <wp:posOffset>-97155</wp:posOffset>
                </wp:positionH>
                <wp:positionV relativeFrom="paragraph">
                  <wp:posOffset>116205</wp:posOffset>
                </wp:positionV>
                <wp:extent cx="6629400" cy="635"/>
                <wp:effectExtent l="19685" t="19050" r="19050" b="19050"/>
                <wp:wrapNone/>
                <wp:docPr id="4" name="Line 4"/>
                <a:graphic xmlns:a="http://schemas.openxmlformats.org/drawingml/2006/main">
                  <a:graphicData uri="http://schemas.microsoft.com/office/word/2010/wordprocessingShape">
                    <wps:wsp>
                      <wps:cNvSpPr/>
                      <wps:spPr>
                        <a:xfrm>
                          <a:off x="0" y="0"/>
                          <a:ext cx="6629400" cy="720"/>
                        </a:xfrm>
                        <a:prstGeom prst="line">
                          <a:avLst/>
                        </a:prstGeom>
                        <a:ln w="38100">
                          <a:solidFill>
                            <a:srgbClr val="00ffff"/>
                          </a:solidFill>
                          <a:round/>
                        </a:ln>
                      </wps:spPr>
                      <wps:style>
                        <a:lnRef idx="0"/>
                        <a:fillRef idx="0"/>
                        <a:effectRef idx="0"/>
                        <a:fontRef idx="minor"/>
                      </wps:style>
                      <wps:bodyPr/>
                    </wps:wsp>
                  </a:graphicData>
                </a:graphic>
              </wp:anchor>
            </w:drawing>
          </mc:Choice>
          <mc:Fallback>
            <w:pict>
              <v:line id="shape_0" from="-7.65pt,9.15pt" to="514.3pt,9.15pt" ID="Line 4" stroked="t" o:allowincell="f" style="position:absolute" wp14:anchorId="155B70F2">
                <v:stroke color="aqua" weight="38160" joinstyle="round" endcap="flat"/>
                <v:fill o:detectmouseclick="t" on="false"/>
                <w10:wrap type="none"/>
              </v:line>
            </w:pict>
          </mc:Fallback>
        </mc:AlternateContent>
      </w:r>
    </w:p>
    <w:p>
      <w:pPr>
        <w:pStyle w:val="Normal"/>
        <w:jc w:val="center"/>
        <w:rPr>
          <w:b/>
          <w:sz w:val="32"/>
          <w:szCs w:val="32"/>
        </w:rPr>
      </w:pPr>
      <w:r>
        <w:rPr>
          <w:b/>
          <w:sz w:val="32"/>
          <w:szCs w:val="32"/>
        </w:rPr>
        <w:t xml:space="preserve">ПОСТАНОВЛЕНИЕ   </w:t>
      </w:r>
    </w:p>
    <w:p>
      <w:pPr>
        <w:pStyle w:val="Normal"/>
        <w:jc w:val="center"/>
        <w:rPr>
          <w:bCs/>
          <w:sz w:val="32"/>
          <w:szCs w:val="32"/>
        </w:rPr>
      </w:pPr>
      <w:r>
        <w:rPr>
          <w:bCs/>
          <w:sz w:val="32"/>
          <w:szCs w:val="32"/>
        </w:rPr>
        <w:t xml:space="preserve">                                           </w:t>
      </w:r>
    </w:p>
    <w:p>
      <w:pPr>
        <w:pStyle w:val="Normal"/>
        <w:rPr>
          <w:sz w:val="28"/>
          <w:szCs w:val="28"/>
        </w:rPr>
      </w:pPr>
      <w:r>
        <w:rPr>
          <w:sz w:val="28"/>
          <w:szCs w:val="28"/>
        </w:rPr>
        <w:t>16</w:t>
      </w:r>
      <w:r>
        <w:rPr>
          <w:sz w:val="28"/>
          <w:szCs w:val="28"/>
        </w:rPr>
        <w:t>.0</w:t>
      </w:r>
      <w:r>
        <w:rPr>
          <w:sz w:val="28"/>
          <w:szCs w:val="28"/>
        </w:rPr>
        <w:t>2</w:t>
      </w:r>
      <w:r>
        <w:rPr>
          <w:sz w:val="28"/>
          <w:szCs w:val="28"/>
        </w:rPr>
        <w:t xml:space="preserve">.2024 г.                                                                                             № </w:t>
      </w:r>
      <w:r>
        <w:rPr>
          <w:sz w:val="28"/>
          <w:szCs w:val="28"/>
        </w:rPr>
        <w:t>36</w:t>
      </w:r>
    </w:p>
    <w:p>
      <w:pPr>
        <w:pStyle w:val="Normal"/>
        <w:jc w:val="center"/>
        <w:rPr>
          <w:b/>
          <w:sz w:val="28"/>
          <w:szCs w:val="28"/>
        </w:rPr>
      </w:pPr>
      <w:r>
        <w:rPr>
          <w:b/>
          <w:sz w:val="28"/>
          <w:szCs w:val="28"/>
        </w:rPr>
        <w:t>п. Нижнеангарск</w:t>
      </w:r>
    </w:p>
    <w:p>
      <w:pPr>
        <w:pStyle w:val="Normal"/>
        <w:rPr>
          <w:sz w:val="28"/>
          <w:szCs w:val="28"/>
        </w:rPr>
      </w:pPr>
      <w:r>
        <w:rPr>
          <w:sz w:val="28"/>
          <w:szCs w:val="28"/>
        </w:rPr>
      </w:r>
    </w:p>
    <w:p>
      <w:pPr>
        <w:pStyle w:val="Normal"/>
        <w:ind w:right="5102"/>
        <w:jc w:val="left"/>
        <w:rPr/>
      </w:pPr>
      <w:r>
        <w:rPr>
          <w:sz w:val="28"/>
          <w:szCs w:val="28"/>
        </w:rPr>
        <w:t xml:space="preserve">Об утверждении муниципальной программы </w:t>
      </w:r>
      <w:r>
        <w:rPr>
          <w:sz w:val="28"/>
        </w:rPr>
        <w:t>муниципального образования «Северо-Байкальский район»</w:t>
      </w:r>
      <w:bookmarkStart w:id="0" w:name="_Hlk157592715"/>
      <w:r>
        <w:rPr>
          <w:sz w:val="28"/>
        </w:rPr>
        <w:t xml:space="preserve"> </w:t>
      </w:r>
      <w:r>
        <w:rPr>
          <w:sz w:val="28"/>
          <w:szCs w:val="28"/>
        </w:rPr>
        <w:t xml:space="preserve">«Защита прав потребителей на территории муниципального образования «Северо-Байкальский район» </w:t>
      </w:r>
      <w:bookmarkEnd w:id="0"/>
    </w:p>
    <w:p>
      <w:pPr>
        <w:pStyle w:val="Normal"/>
        <w:jc w:val="both"/>
        <w:rPr>
          <w:b/>
          <w:caps/>
          <w:sz w:val="28"/>
          <w:szCs w:val="28"/>
        </w:rPr>
      </w:pPr>
      <w:r>
        <w:rPr>
          <w:b/>
          <w:caps/>
          <w:sz w:val="28"/>
          <w:szCs w:val="28"/>
        </w:rPr>
      </w:r>
    </w:p>
    <w:p>
      <w:pPr>
        <w:pStyle w:val="Normal"/>
        <w:widowControl w:val="false"/>
        <w:tabs>
          <w:tab w:val="clear" w:pos="708"/>
          <w:tab w:val="left" w:pos="11199" w:leader="none"/>
        </w:tabs>
        <w:ind w:firstLine="567" w:right="-1"/>
        <w:jc w:val="both"/>
        <w:rPr>
          <w:sz w:val="28"/>
          <w:szCs w:val="28"/>
        </w:rPr>
      </w:pPr>
      <w:r>
        <w:rPr>
          <w:bCs/>
          <w:spacing w:val="-2"/>
          <w:sz w:val="28"/>
          <w:szCs w:val="28"/>
        </w:rPr>
        <w:t>В соответствии со статьей 44 Закона РФ от 07.02.1992 № 2300-1 «О защите прав потребителей», руководствуясь распор</w:t>
      </w:r>
      <w:bookmarkStart w:id="1" w:name="_GoBack"/>
      <w:bookmarkEnd w:id="1"/>
      <w:r>
        <w:rPr>
          <w:bCs/>
          <w:spacing w:val="-2"/>
          <w:sz w:val="28"/>
          <w:szCs w:val="28"/>
        </w:rPr>
        <w:t xml:space="preserve">яжением Правительства РФ от 28.08.2017 № 1837-р «Об утверждении Стратегии государственной политики РФ в области защиты прав потребителей на период до 2030» и в целях создания в Северо-Байкальском районе условий для эффективной защиты установленных законодательством РФ прав потребителей, </w:t>
      </w:r>
      <w:r>
        <w:rPr>
          <w:sz w:val="28"/>
          <w:szCs w:val="28"/>
        </w:rPr>
        <w:t>п о с т а н о в л я ю:</w:t>
      </w:r>
    </w:p>
    <w:p>
      <w:pPr>
        <w:pStyle w:val="Normal"/>
        <w:ind w:firstLine="567" w:right="-1"/>
        <w:jc w:val="both"/>
        <w:rPr>
          <w:sz w:val="28"/>
        </w:rPr>
      </w:pPr>
      <w:r>
        <w:rPr>
          <w:sz w:val="28"/>
          <w:szCs w:val="28"/>
        </w:rPr>
        <w:t>1. Утвердить муниципальную программу муниципального образования «Северо-Байкальский район» «Защита прав потребителей на территории муниципального образования «Северо-Байкальский район» согласно приложению к настоящему постановлению</w:t>
      </w:r>
      <w:r>
        <w:rPr>
          <w:sz w:val="28"/>
        </w:rPr>
        <w:t>.</w:t>
      </w:r>
    </w:p>
    <w:p>
      <w:pPr>
        <w:pStyle w:val="Normal"/>
        <w:ind w:firstLine="567" w:right="-1"/>
        <w:jc w:val="both"/>
        <w:rPr>
          <w:iCs/>
          <w:sz w:val="28"/>
          <w:szCs w:val="28"/>
        </w:rPr>
      </w:pPr>
      <w:r>
        <w:rPr>
          <w:sz w:val="28"/>
        </w:rPr>
        <w:t>2.</w:t>
      </w:r>
      <w:r>
        <w:rPr/>
        <w:t xml:space="preserve"> К</w:t>
      </w:r>
      <w:r>
        <w:rPr>
          <w:sz w:val="28"/>
          <w:szCs w:val="28"/>
        </w:rPr>
        <w:t>онтроль за исполнением настоящего постановления возложить на Заместителя Руководителя администрации МО «Северо-Байкальский район» по экономическим вопросам (Т. А. Никифорова).</w:t>
      </w:r>
    </w:p>
    <w:p>
      <w:pPr>
        <w:pStyle w:val="Normal"/>
        <w:ind w:firstLine="567" w:right="-1"/>
        <w:jc w:val="both"/>
        <w:rPr>
          <w:sz w:val="28"/>
          <w:szCs w:val="28"/>
        </w:rPr>
      </w:pPr>
      <w:r>
        <w:rPr>
          <w:sz w:val="28"/>
          <w:szCs w:val="28"/>
        </w:rPr>
        <w:t>3. Постановление вступает после его официального опубликования (обнародования).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Cs/>
          <w:sz w:val="28"/>
          <w:szCs w:val="28"/>
        </w:rPr>
      </w:pPr>
      <w:r>
        <w:rPr>
          <w:b/>
          <w:bCs/>
          <w:sz w:val="28"/>
          <w:szCs w:val="28"/>
        </w:rPr>
        <w:t>Глава – Руководитель                                                                              И.В. Пухарев</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t>Исп. Шинкаренко Е.Н.</w:t>
      </w:r>
    </w:p>
    <w:p>
      <w:pPr>
        <w:pStyle w:val="Normal"/>
        <w:rPr>
          <w:sz w:val="20"/>
        </w:rPr>
      </w:pPr>
      <w:r>
        <w:rPr>
          <w:sz w:val="20"/>
        </w:rPr>
        <w:t>8/30130/47322</w:t>
      </w:r>
    </w:p>
    <w:p>
      <w:pPr>
        <w:pStyle w:val="Normal"/>
        <w:jc w:val="right"/>
        <w:rPr>
          <w:b/>
          <w:bCs/>
          <w:sz w:val="22"/>
          <w:szCs w:val="22"/>
        </w:rPr>
      </w:pPr>
      <w:r>
        <w:rPr>
          <w:b/>
          <w:bCs/>
          <w:sz w:val="22"/>
          <w:szCs w:val="22"/>
        </w:rPr>
        <w:t xml:space="preserve">Приложение </w:t>
      </w:r>
    </w:p>
    <w:p>
      <w:pPr>
        <w:pStyle w:val="Normal"/>
        <w:jc w:val="right"/>
        <w:rPr>
          <w:sz w:val="22"/>
          <w:szCs w:val="22"/>
        </w:rPr>
      </w:pPr>
      <w:r>
        <w:rPr>
          <w:sz w:val="22"/>
          <w:szCs w:val="22"/>
        </w:rPr>
      </w:r>
    </w:p>
    <w:p>
      <w:pPr>
        <w:pStyle w:val="Normal"/>
        <w:jc w:val="right"/>
        <w:rPr>
          <w:sz w:val="22"/>
          <w:szCs w:val="22"/>
        </w:rPr>
      </w:pPr>
      <w:r>
        <w:rPr>
          <w:sz w:val="22"/>
          <w:szCs w:val="22"/>
        </w:rPr>
        <w:t>УТВЕРЖДЕНА</w:t>
      </w:r>
    </w:p>
    <w:p>
      <w:pPr>
        <w:pStyle w:val="Normal"/>
        <w:jc w:val="right"/>
        <w:rPr>
          <w:sz w:val="22"/>
          <w:szCs w:val="22"/>
        </w:rPr>
      </w:pPr>
      <w:r>
        <w:rPr>
          <w:sz w:val="22"/>
          <w:szCs w:val="22"/>
        </w:rPr>
        <w:t xml:space="preserve">постановлением администрации </w:t>
      </w:r>
    </w:p>
    <w:p>
      <w:pPr>
        <w:pStyle w:val="Normal"/>
        <w:jc w:val="right"/>
        <w:rPr>
          <w:sz w:val="22"/>
          <w:szCs w:val="22"/>
        </w:rPr>
      </w:pPr>
      <w:r>
        <w:rPr>
          <w:sz w:val="22"/>
          <w:szCs w:val="22"/>
        </w:rPr>
        <w:t>МО «Северо-Байкальский район»</w:t>
      </w:r>
    </w:p>
    <w:p>
      <w:pPr>
        <w:pStyle w:val="Normal"/>
        <w:jc w:val="right"/>
        <w:rPr>
          <w:b/>
          <w:bCs/>
          <w:sz w:val="22"/>
          <w:szCs w:val="22"/>
        </w:rPr>
      </w:pPr>
      <w:r>
        <w:rPr>
          <w:sz w:val="22"/>
          <w:szCs w:val="22"/>
        </w:rPr>
        <w:t>от _</w:t>
      </w:r>
      <w:r>
        <w:rPr>
          <w:sz w:val="22"/>
          <w:szCs w:val="22"/>
        </w:rPr>
        <w:t>16.02.</w:t>
      </w:r>
      <w:r>
        <w:rPr>
          <w:sz w:val="22"/>
          <w:szCs w:val="22"/>
        </w:rPr>
        <w:t xml:space="preserve">2024г. № </w:t>
      </w:r>
      <w:r>
        <w:rPr>
          <w:sz w:val="22"/>
          <w:szCs w:val="22"/>
        </w:rPr>
        <w:t>36</w:t>
      </w:r>
    </w:p>
    <w:p>
      <w:pPr>
        <w:pStyle w:val="Normal"/>
        <w:jc w:val="center"/>
        <w:rPr>
          <w:b/>
          <w:bCs/>
          <w:sz w:val="22"/>
          <w:szCs w:val="22"/>
        </w:rPr>
      </w:pPr>
      <w:r>
        <w:rPr>
          <w:b/>
          <w:bCs/>
          <w:sz w:val="22"/>
          <w:szCs w:val="22"/>
        </w:rPr>
      </w:r>
    </w:p>
    <w:p>
      <w:pPr>
        <w:pStyle w:val="Normal"/>
        <w:jc w:val="center"/>
        <w:rPr>
          <w:b/>
          <w:bCs/>
          <w:sz w:val="28"/>
          <w:szCs w:val="28"/>
        </w:rPr>
      </w:pPr>
      <w:r>
        <w:rPr>
          <w:b/>
          <w:bCs/>
          <w:sz w:val="28"/>
          <w:szCs w:val="28"/>
        </w:rPr>
        <w:t xml:space="preserve">Муниципальная программа муниципального образования </w:t>
      </w:r>
    </w:p>
    <w:p>
      <w:pPr>
        <w:pStyle w:val="Normal"/>
        <w:jc w:val="center"/>
        <w:rPr>
          <w:b/>
          <w:bCs/>
          <w:sz w:val="28"/>
          <w:szCs w:val="28"/>
        </w:rPr>
      </w:pPr>
      <w:r>
        <w:rPr>
          <w:b/>
          <w:bCs/>
          <w:sz w:val="28"/>
          <w:szCs w:val="28"/>
        </w:rPr>
        <w:t>«Северо-Байкальский район»</w:t>
      </w:r>
    </w:p>
    <w:p>
      <w:pPr>
        <w:pStyle w:val="Normal"/>
        <w:jc w:val="center"/>
        <w:rPr>
          <w:b/>
          <w:sz w:val="28"/>
          <w:szCs w:val="28"/>
        </w:rPr>
      </w:pPr>
      <w:r>
        <w:rPr>
          <w:b/>
          <w:sz w:val="28"/>
          <w:szCs w:val="28"/>
        </w:rPr>
        <w:t xml:space="preserve">«Защита прав потребителей на территории муниципального образования «Северо-Байкальский район» </w:t>
      </w:r>
    </w:p>
    <w:p>
      <w:pPr>
        <w:pStyle w:val="Normal"/>
        <w:widowControl w:val="false"/>
        <w:jc w:val="center"/>
        <w:rPr>
          <w:b/>
          <w:iCs/>
        </w:rPr>
      </w:pPr>
      <w:r>
        <w:rPr>
          <w:b/>
          <w:iCs/>
        </w:rPr>
      </w:r>
    </w:p>
    <w:p>
      <w:pPr>
        <w:pStyle w:val="Normal"/>
        <w:widowControl w:val="false"/>
        <w:jc w:val="center"/>
        <w:rPr>
          <w:b/>
          <w:iCs/>
        </w:rPr>
      </w:pPr>
      <w:r>
        <w:rPr>
          <w:b/>
          <w:iCs/>
        </w:rPr>
        <w:t>Паспорт</w:t>
      </w:r>
    </w:p>
    <w:tbl>
      <w:tblPr>
        <w:tblStyle w:val="a7"/>
        <w:tblW w:w="102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8"/>
        <w:gridCol w:w="7992"/>
      </w:tblGrid>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Наименование Программы</w:t>
            </w:r>
          </w:p>
        </w:tc>
        <w:tc>
          <w:tcPr>
            <w:tcW w:w="7992" w:type="dxa"/>
            <w:tcBorders/>
          </w:tcPr>
          <w:p>
            <w:pPr>
              <w:pStyle w:val="Normal"/>
              <w:widowControl w:val="false"/>
              <w:suppressAutoHyphens w:val="true"/>
              <w:spacing w:before="0" w:after="0"/>
              <w:jc w:val="left"/>
              <w:rPr>
                <w:iCs/>
              </w:rPr>
            </w:pPr>
            <w:r>
              <w:rPr>
                <w:rFonts w:cs="Times New Roman"/>
                <w:iCs/>
                <w:kern w:val="0"/>
                <w:lang w:val="ru-RU" w:eastAsia="ru-RU" w:bidi="ar-SA"/>
              </w:rPr>
              <w:t>Защита прав потребителей на территории муниципального образования «Северо-Байкальский район»</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Ответственный исполнитель</w:t>
            </w:r>
          </w:p>
        </w:tc>
        <w:tc>
          <w:tcPr>
            <w:tcW w:w="7992" w:type="dxa"/>
            <w:tcBorders/>
          </w:tcPr>
          <w:p>
            <w:pPr>
              <w:pStyle w:val="Normal"/>
              <w:widowControl w:val="false"/>
              <w:suppressAutoHyphens w:val="true"/>
              <w:spacing w:before="0" w:after="0"/>
              <w:jc w:val="both"/>
              <w:rPr>
                <w:iCs/>
              </w:rPr>
            </w:pPr>
            <w:r>
              <w:rPr>
                <w:rFonts w:cs="Times New Roman"/>
                <w:iCs/>
                <w:kern w:val="0"/>
                <w:lang w:val="ru-RU" w:eastAsia="ru-RU" w:bidi="ar-SA"/>
              </w:rPr>
              <w:t>Отдел экономики Администрации МО «Северо-Байкальский район»</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Соисполнители</w:t>
            </w:r>
          </w:p>
        </w:tc>
        <w:tc>
          <w:tcPr>
            <w:tcW w:w="7992" w:type="dxa"/>
            <w:tcBorders/>
          </w:tcPr>
          <w:p>
            <w:pPr>
              <w:pStyle w:val="Normal"/>
              <w:widowControl w:val="false"/>
              <w:suppressAutoHyphens w:val="true"/>
              <w:spacing w:before="0" w:after="0"/>
              <w:jc w:val="both"/>
              <w:rPr>
                <w:iCs/>
              </w:rPr>
            </w:pPr>
            <w:r>
              <w:rPr>
                <w:rFonts w:cs="Times New Roman"/>
                <w:iCs/>
                <w:kern w:val="0"/>
                <w:lang w:val="ru-RU" w:eastAsia="ru-RU" w:bidi="ar-SA"/>
              </w:rPr>
              <w:t>Администрации городских и сельских поселений (по согласованию)</w:t>
            </w:r>
          </w:p>
          <w:p>
            <w:pPr>
              <w:pStyle w:val="Normal"/>
              <w:widowControl w:val="false"/>
              <w:suppressAutoHyphens w:val="true"/>
              <w:spacing w:before="0" w:after="0"/>
              <w:jc w:val="both"/>
              <w:rPr>
                <w:iCs/>
              </w:rPr>
            </w:pP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p>
            <w:pPr>
              <w:pStyle w:val="Normal"/>
              <w:widowControl w:val="false"/>
              <w:suppressAutoHyphens w:val="true"/>
              <w:spacing w:before="0" w:after="0"/>
              <w:jc w:val="both"/>
              <w:rPr>
                <w:iCs/>
              </w:rPr>
            </w:pPr>
            <w:r>
              <w:rPr>
                <w:rFonts w:cs="Times New Roman"/>
                <w:iCs/>
                <w:kern w:val="0"/>
                <w:lang w:val="ru-RU" w:eastAsia="ru-RU" w:bidi="ar-SA"/>
              </w:rPr>
              <w:t>Организации, осуществляющие деятельность на территории Северо-Байкальского района (по согласованию)</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Подпрограммы</w:t>
            </w:r>
          </w:p>
        </w:tc>
        <w:tc>
          <w:tcPr>
            <w:tcW w:w="7992" w:type="dxa"/>
            <w:tcBorders/>
          </w:tcPr>
          <w:p>
            <w:pPr>
              <w:pStyle w:val="Normal"/>
              <w:widowControl w:val="false"/>
              <w:suppressAutoHyphens w:val="true"/>
              <w:spacing w:before="0" w:after="0"/>
              <w:jc w:val="both"/>
              <w:rPr>
                <w:iCs/>
              </w:rPr>
            </w:pPr>
            <w:r>
              <w:rPr>
                <w:rFonts w:cs="Times New Roman"/>
                <w:iCs/>
                <w:kern w:val="0"/>
                <w:lang w:val="ru-RU" w:eastAsia="ru-RU" w:bidi="ar-SA"/>
              </w:rPr>
              <w:t>отсутствуют</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Цель и задачи программы</w:t>
            </w:r>
          </w:p>
        </w:tc>
        <w:tc>
          <w:tcPr>
            <w:tcW w:w="7992" w:type="dxa"/>
            <w:tcBorders/>
          </w:tcPr>
          <w:p>
            <w:pPr>
              <w:pStyle w:val="Normal"/>
              <w:widowControl w:val="false"/>
              <w:suppressAutoHyphens w:val="true"/>
              <w:spacing w:before="0" w:after="0"/>
              <w:jc w:val="both"/>
              <w:rPr>
                <w:iCs/>
              </w:rPr>
            </w:pPr>
            <w:r>
              <w:rPr>
                <w:rFonts w:cs="Times New Roman"/>
                <w:iCs/>
                <w:kern w:val="0"/>
                <w:lang w:val="ru-RU" w:eastAsia="ru-RU" w:bidi="ar-SA"/>
              </w:rPr>
              <w:t>Цель: Создание в Северо-Байкальском районе условий эффективной защиты, установленных законодательством РФ прав потребителей</w:t>
            </w:r>
          </w:p>
          <w:p>
            <w:pPr>
              <w:pStyle w:val="Normal"/>
              <w:widowControl w:val="false"/>
              <w:suppressAutoHyphens w:val="true"/>
              <w:spacing w:before="0" w:after="0"/>
              <w:jc w:val="both"/>
              <w:rPr>
                <w:iCs/>
              </w:rPr>
            </w:pPr>
            <w:r>
              <w:rPr>
                <w:rFonts w:cs="Times New Roman"/>
                <w:iCs/>
                <w:kern w:val="0"/>
                <w:lang w:val="ru-RU" w:eastAsia="ru-RU" w:bidi="ar-SA"/>
              </w:rPr>
              <w:t>Задачи:</w:t>
            </w:r>
          </w:p>
          <w:p>
            <w:pPr>
              <w:pStyle w:val="Normal"/>
              <w:widowControl w:val="false"/>
              <w:suppressAutoHyphens w:val="true"/>
              <w:spacing w:before="0" w:after="0"/>
              <w:jc w:val="both"/>
              <w:rPr>
                <w:iCs/>
              </w:rPr>
            </w:pPr>
            <w:r>
              <w:rPr>
                <w:rFonts w:cs="Times New Roman"/>
                <w:iCs/>
                <w:kern w:val="0"/>
                <w:lang w:val="ru-RU" w:eastAsia="ru-RU" w:bidi="ar-SA"/>
              </w:rPr>
              <w:t>- содействие повышению правовой грамотности и информированности населения района в вопросах защиты прав потребителей;</w:t>
            </w:r>
          </w:p>
          <w:p>
            <w:pPr>
              <w:pStyle w:val="Normal"/>
              <w:widowControl w:val="false"/>
              <w:suppressAutoHyphens w:val="true"/>
              <w:spacing w:before="0" w:after="0"/>
              <w:jc w:val="both"/>
              <w:rPr>
                <w:iCs/>
              </w:rPr>
            </w:pPr>
            <w:r>
              <w:rPr>
                <w:rFonts w:cs="Times New Roman"/>
                <w:iCs/>
                <w:kern w:val="0"/>
                <w:lang w:val="ru-RU" w:eastAsia="ru-RU" w:bidi="ar-SA"/>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Целевые показатели программы</w:t>
            </w:r>
          </w:p>
        </w:tc>
        <w:tc>
          <w:tcPr>
            <w:tcW w:w="7992" w:type="dxa"/>
            <w:tcBorders/>
          </w:tcPr>
          <w:p>
            <w:pPr>
              <w:pStyle w:val="Normal"/>
              <w:widowControl w:val="false"/>
              <w:suppressAutoHyphens w:val="true"/>
              <w:spacing w:before="0" w:after="0"/>
              <w:jc w:val="both"/>
              <w:rPr>
                <w:iCs/>
              </w:rPr>
            </w:pPr>
            <w:r>
              <w:rPr>
                <w:rFonts w:cs="Times New Roman"/>
                <w:iCs/>
                <w:kern w:val="0"/>
                <w:lang w:val="ru-RU" w:eastAsia="ru-RU" w:bidi="ar-SA"/>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suppressAutoHyphens w:val="true"/>
              <w:spacing w:before="0" w:after="0"/>
              <w:jc w:val="both"/>
              <w:rPr>
                <w:iCs/>
              </w:rPr>
            </w:pPr>
            <w:r>
              <w:rPr>
                <w:rFonts w:cs="Times New Roman"/>
                <w:iCs/>
                <w:kern w:val="0"/>
                <w:lang w:val="ru-RU" w:eastAsia="ru-RU" w:bidi="ar-SA"/>
              </w:rPr>
              <w:t>-количество консультаций в сфере защиты прав потребителей</w:t>
            </w:r>
          </w:p>
          <w:p>
            <w:pPr>
              <w:pStyle w:val="Normal"/>
              <w:widowControl w:val="false"/>
              <w:suppressAutoHyphens w:val="true"/>
              <w:spacing w:before="0" w:after="0"/>
              <w:jc w:val="both"/>
              <w:rPr>
                <w:iCs/>
              </w:rPr>
            </w:pPr>
            <w:r>
              <w:rPr>
                <w:iCs/>
              </w:rPr>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Сроки реализации</w:t>
            </w:r>
          </w:p>
        </w:tc>
        <w:tc>
          <w:tcPr>
            <w:tcW w:w="7992" w:type="dxa"/>
            <w:tcBorders/>
          </w:tcPr>
          <w:p>
            <w:pPr>
              <w:pStyle w:val="Normal"/>
              <w:widowControl w:val="false"/>
              <w:suppressAutoHyphens w:val="true"/>
              <w:spacing w:before="0" w:after="0"/>
              <w:jc w:val="left"/>
              <w:rPr>
                <w:iCs/>
              </w:rPr>
            </w:pPr>
            <w:r>
              <w:rPr>
                <w:rFonts w:cs="Times New Roman"/>
                <w:iCs/>
                <w:kern w:val="0"/>
                <w:lang w:val="ru-RU" w:eastAsia="ru-RU" w:bidi="ar-SA"/>
              </w:rPr>
              <w:t>на 2024-2026 годы</w:t>
            </w:r>
          </w:p>
        </w:tc>
      </w:tr>
      <w:tr>
        <w:trPr/>
        <w:tc>
          <w:tcPr>
            <w:tcW w:w="2208" w:type="dxa"/>
            <w:tcBorders/>
          </w:tcPr>
          <w:p>
            <w:pPr>
              <w:pStyle w:val="Normal"/>
              <w:widowControl w:val="false"/>
              <w:suppressAutoHyphens w:val="true"/>
              <w:spacing w:before="0" w:after="0"/>
              <w:jc w:val="center"/>
              <w:rPr>
                <w:iCs/>
              </w:rPr>
            </w:pPr>
            <w:r>
              <w:rPr>
                <w:rFonts w:cs="Times New Roman"/>
                <w:iCs/>
                <w:kern w:val="0"/>
                <w:lang w:val="ru-RU" w:eastAsia="ru-RU" w:bidi="ar-SA"/>
              </w:rPr>
              <w:t>Объемы и источники финансирования программы по годам реализации</w:t>
            </w:r>
          </w:p>
        </w:tc>
        <w:tc>
          <w:tcPr>
            <w:tcW w:w="7992" w:type="dxa"/>
            <w:tcBorders/>
          </w:tcPr>
          <w:p>
            <w:pPr>
              <w:pStyle w:val="Normal"/>
              <w:widowControl w:val="false"/>
              <w:suppressAutoHyphens w:val="true"/>
              <w:spacing w:before="0" w:after="0"/>
              <w:jc w:val="left"/>
              <w:rPr>
                <w:iCs/>
              </w:rPr>
            </w:pPr>
            <w:r>
              <w:rPr>
                <w:rFonts w:cs="Times New Roman"/>
                <w:iCs/>
                <w:kern w:val="0"/>
                <w:lang w:val="ru-RU" w:eastAsia="ru-RU" w:bidi="ar-SA"/>
              </w:rPr>
              <w:t>Финансовое обеспечение мероприятий программы в настоящее время не предусмотрено</w:t>
            </w:r>
          </w:p>
        </w:tc>
      </w:tr>
    </w:tbl>
    <w:p>
      <w:pPr>
        <w:pStyle w:val="Normal"/>
        <w:widowControl w:val="false"/>
        <w:jc w:val="both"/>
        <w:rPr>
          <w:iCs/>
          <w:sz w:val="20"/>
          <w:szCs w:val="20"/>
        </w:rPr>
      </w:pPr>
      <w:r>
        <w:rPr>
          <w:iCs/>
          <w:sz w:val="20"/>
          <w:szCs w:val="20"/>
        </w:rPr>
      </w:r>
    </w:p>
    <w:p>
      <w:pPr>
        <w:pStyle w:val="Normal"/>
        <w:widowControl w:val="false"/>
        <w:jc w:val="both"/>
        <w:rPr>
          <w:iCs/>
          <w:sz w:val="20"/>
          <w:szCs w:val="20"/>
        </w:rPr>
      </w:pPr>
      <w:r>
        <w:rPr>
          <w:iCs/>
          <w:sz w:val="20"/>
          <w:szCs w:val="20"/>
        </w:rPr>
        <w:t>*Установить, что в ходе реализации муниципальной программы отдельные мероприятия могут уточняться, а объемы финансирования мероприятий выделяться и корректироваться с учетом исполнения бюджета МО «Северо-Байкальский район».</w:t>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r>
    </w:p>
    <w:p>
      <w:pPr>
        <w:pStyle w:val="Normal"/>
        <w:widowControl w:val="false"/>
        <w:jc w:val="center"/>
        <w:rPr>
          <w:b/>
          <w:iCs/>
        </w:rPr>
      </w:pPr>
      <w:r>
        <w:rPr>
          <w:b/>
          <w:iCs/>
        </w:rPr>
        <w:t>Раздел 1. Характеристика текущего состояния, основные проблемы, анализ основных показателей</w:t>
      </w:r>
    </w:p>
    <w:p>
      <w:pPr>
        <w:pStyle w:val="Normal"/>
        <w:widowControl w:val="false"/>
        <w:ind w:firstLine="567"/>
        <w:jc w:val="both"/>
        <w:rPr>
          <w:color w:val="1C1C1C"/>
        </w:rPr>
      </w:pPr>
      <w:r>
        <w:rPr>
          <w:iCs/>
        </w:rPr>
        <w:t xml:space="preserve">  </w:t>
      </w:r>
      <w:r>
        <w:rPr>
          <w:color w:val="1C1C1C"/>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pPr>
        <w:pStyle w:val="NormalWeb"/>
        <w:spacing w:beforeAutospacing="0" w:before="0" w:afterAutospacing="0" w:after="0"/>
        <w:ind w:firstLine="567"/>
        <w:jc w:val="both"/>
        <w:rPr>
          <w:color w:val="1C1C1C"/>
        </w:rPr>
      </w:pPr>
      <w:r>
        <w:rPr>
          <w:color w:val="1C1C1C"/>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pPr>
        <w:pStyle w:val="NormalWeb"/>
        <w:spacing w:beforeAutospacing="0" w:before="0" w:afterAutospacing="0" w:after="0"/>
        <w:ind w:firstLine="567"/>
        <w:jc w:val="both"/>
        <w:rPr>
          <w:color w:val="1C1C1C"/>
        </w:rPr>
      </w:pPr>
      <w:r>
        <w:rPr>
          <w:color w:val="1C1C1C"/>
        </w:rPr>
        <w:t>Программа представляет собой комплекс мер направленных на развитие системы защиты прав потребителей в муниципальном образовании «Северо-Байкальский район»,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pPr>
        <w:pStyle w:val="NormalWeb"/>
        <w:spacing w:beforeAutospacing="0" w:before="0" w:afterAutospacing="0" w:after="0"/>
        <w:ind w:firstLine="567"/>
        <w:jc w:val="both"/>
        <w:rPr>
          <w:color w:val="1C1C1C"/>
        </w:rPr>
      </w:pPr>
      <w:r>
        <w:rPr>
          <w:color w:val="1C1C1C"/>
        </w:rPr>
        <w:t>Основное направление в вопросах защиты прав потребителей является создание на территории муниципального образования «Северо-Байкальский район»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pPr>
        <w:pStyle w:val="NormalWeb"/>
        <w:spacing w:beforeAutospacing="0" w:before="0" w:afterAutospacing="0" w:after="0"/>
        <w:ind w:firstLine="567"/>
        <w:jc w:val="both"/>
        <w:rPr>
          <w:color w:val="1C1C1C"/>
        </w:rPr>
      </w:pPr>
      <w:r>
        <w:rPr>
          <w:iCs/>
        </w:rPr>
        <w:t>Программа определяет цель и задачи деятельности Администрации МО «Северо-Байкальский район» (далее – Администрация) и иных органов, уполномоченных на осуществление деятельности в сфере защиты прав потребителей по соответствующим направлениям, а также представителей гражданского общества.</w:t>
      </w:r>
      <w:r>
        <w:rPr>
          <w:color w:val="1C1C1C"/>
        </w:rPr>
        <w:t xml:space="preserve"> 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перевозки пассажиров, связи, а также торговле, оказании населению бытовых услуг, услуг общественного питания и других.</w:t>
      </w:r>
    </w:p>
    <w:p>
      <w:pPr>
        <w:pStyle w:val="NormalWeb"/>
        <w:spacing w:beforeAutospacing="0" w:before="0" w:afterAutospacing="0" w:after="0"/>
        <w:ind w:firstLine="567"/>
        <w:jc w:val="both"/>
        <w:rPr>
          <w:color w:val="1C1C1C"/>
        </w:rPr>
      </w:pPr>
      <w:r>
        <w:rPr>
          <w:color w:val="1C1C1C"/>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pPr>
        <w:pStyle w:val="NormalWeb"/>
        <w:spacing w:beforeAutospacing="0" w:before="0" w:afterAutospacing="0" w:after="0"/>
        <w:ind w:firstLine="567"/>
        <w:jc w:val="both"/>
        <w:rPr>
          <w:color w:val="1C1C1C"/>
        </w:rPr>
      </w:pPr>
      <w:r>
        <w:rPr>
          <w:color w:val="1C1C1C"/>
        </w:rPr>
        <w:t xml:space="preserve">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pPr>
        <w:pStyle w:val="NormalWeb"/>
        <w:spacing w:beforeAutospacing="0" w:before="0" w:afterAutospacing="0" w:after="0"/>
        <w:ind w:firstLine="567"/>
        <w:jc w:val="both"/>
        <w:rPr>
          <w:color w:val="1C1C1C"/>
        </w:rPr>
      </w:pPr>
      <w:r>
        <w:rPr>
          <w:color w:val="1C1C1C"/>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 Опираясь на наработанный потенциал, муниципальная программа «Защита прав потребителей на территории муниципального образования «Северо-Байкальский район»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w:t>
      </w:r>
    </w:p>
    <w:p>
      <w:pPr>
        <w:pStyle w:val="NormalWeb"/>
        <w:spacing w:beforeAutospacing="0" w:before="0" w:afterAutospacing="0" w:after="0"/>
        <w:ind w:firstLine="567"/>
        <w:jc w:val="both"/>
        <w:rPr>
          <w:iCs/>
        </w:rPr>
      </w:pPr>
      <w:r>
        <w:rPr>
          <w:iCs/>
        </w:rPr>
        <w:t>Реализация Программы позволит повысить информированность граждан и обеспечить защиту от недоброкачественных товаров (работ, услуг). В то же время будет продолжена работа по организации семинаров (круглых столов), в том числе в онлайн-режиме для информирования и консультирования потребителей и предпринимателей.</w:t>
      </w:r>
    </w:p>
    <w:p>
      <w:pPr>
        <w:pStyle w:val="NormalWeb"/>
        <w:spacing w:beforeAutospacing="0" w:before="0" w:afterAutospacing="0" w:after="0"/>
        <w:ind w:firstLine="567"/>
        <w:jc w:val="both"/>
        <w:rPr>
          <w:iCs/>
        </w:rPr>
      </w:pPr>
      <w:r>
        <w:rPr>
          <w:iCs/>
        </w:rPr>
        <w:t>Программа определяет систему мероприятий, направленных на достижение цели и решение задач Программы.</w:t>
      </w:r>
    </w:p>
    <w:p>
      <w:pPr>
        <w:pStyle w:val="NormalWeb"/>
        <w:spacing w:beforeAutospacing="0" w:before="0" w:afterAutospacing="0" w:after="0"/>
        <w:ind w:firstLine="567"/>
        <w:jc w:val="both"/>
        <w:rPr>
          <w:iCs/>
        </w:rPr>
      </w:pPr>
      <w:r>
        <w:rPr>
          <w:iCs/>
        </w:rPr>
        <w:t>Программа реализуется отделом экономики администрации МО «Северо-Байкальский район» во взаимодействии с иными органами, уполномоченными на осуществление деятельности в сфере защиты прав потребителей по соответствующим направлениям, а также представителями гражданского общества.</w:t>
      </w:r>
    </w:p>
    <w:p>
      <w:pPr>
        <w:pStyle w:val="Normal"/>
        <w:widowControl w:val="false"/>
        <w:ind w:firstLine="153" w:left="567"/>
        <w:jc w:val="both"/>
        <w:rPr>
          <w:iCs/>
        </w:rPr>
      </w:pPr>
      <w:r>
        <w:rPr>
          <w:iCs/>
        </w:rPr>
      </w:r>
    </w:p>
    <w:p>
      <w:pPr>
        <w:pStyle w:val="Normal"/>
        <w:widowControl w:val="false"/>
        <w:jc w:val="center"/>
        <w:rPr>
          <w:b/>
          <w:iCs/>
        </w:rPr>
      </w:pPr>
      <w:r>
        <w:rPr>
          <w:b/>
          <w:iCs/>
        </w:rPr>
        <w:t>Раздел 2. Основные цели и задачи</w:t>
      </w:r>
    </w:p>
    <w:p>
      <w:pPr>
        <w:pStyle w:val="Normal"/>
        <w:widowControl w:val="false"/>
        <w:ind w:firstLine="567"/>
        <w:jc w:val="both"/>
        <w:rPr>
          <w:iCs/>
        </w:rPr>
      </w:pPr>
      <w:r>
        <w:rPr>
          <w:iCs/>
        </w:rPr>
        <w:t xml:space="preserve">Цель Программы: создание в Северо-Байкальском районе условий эффективной защиты, установленных законодательством Российской Федерации прав потребителей. </w:t>
      </w:r>
    </w:p>
    <w:p>
      <w:pPr>
        <w:pStyle w:val="Normal"/>
        <w:widowControl w:val="false"/>
        <w:ind w:firstLine="567"/>
        <w:jc w:val="both"/>
        <w:rPr>
          <w:iCs/>
        </w:rPr>
      </w:pPr>
      <w:r>
        <w:rPr>
          <w:iCs/>
        </w:rPr>
        <w:t>Задачи Программы:</w:t>
      </w:r>
    </w:p>
    <w:p>
      <w:pPr>
        <w:pStyle w:val="Normal"/>
        <w:widowControl w:val="false"/>
        <w:ind w:firstLine="567"/>
        <w:jc w:val="both"/>
        <w:rPr>
          <w:iCs/>
        </w:rPr>
      </w:pPr>
      <w:r>
        <w:rPr>
          <w:iCs/>
        </w:rPr>
        <w:t>- содействие повышению правовой грамотности и информированности населения района в вопросах защиты прав потребителей;</w:t>
      </w:r>
    </w:p>
    <w:p>
      <w:pPr>
        <w:pStyle w:val="Normal"/>
        <w:widowControl w:val="false"/>
        <w:ind w:firstLine="567"/>
        <w:jc w:val="both"/>
        <w:rPr>
          <w:iCs/>
        </w:rPr>
      </w:pPr>
      <w:r>
        <w:rPr>
          <w:iCs/>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pPr>
        <w:pStyle w:val="ConsNormal"/>
        <w:tabs>
          <w:tab w:val="clear" w:pos="708"/>
          <w:tab w:val="left" w:pos="1065" w:leader="none"/>
        </w:tabs>
        <w:ind w:firstLine="540" w:right="0"/>
        <w:rPr>
          <w:iCs/>
        </w:rPr>
      </w:pPr>
      <w:r>
        <w:rPr>
          <w:iCs/>
        </w:rPr>
        <w:t xml:space="preserve">                                                                                                                                                                     </w:t>
      </w:r>
    </w:p>
    <w:p>
      <w:pPr>
        <w:pStyle w:val="Normal"/>
        <w:widowControl w:val="false"/>
        <w:ind w:firstLine="153" w:left="567"/>
        <w:jc w:val="both"/>
        <w:rPr>
          <w:iCs/>
        </w:rPr>
      </w:pPr>
      <w:r>
        <w:rPr>
          <w:iCs/>
        </w:rPr>
        <w:t xml:space="preserve">                                                                                                                                           </w:t>
      </w:r>
    </w:p>
    <w:p>
      <w:pPr>
        <w:pStyle w:val="Normal"/>
        <w:widowControl w:val="false"/>
        <w:numPr>
          <w:ilvl w:val="0"/>
          <w:numId w:val="0"/>
        </w:numPr>
        <w:ind w:firstLine="426" w:left="0"/>
        <w:jc w:val="center"/>
        <w:outlineLvl w:val="2"/>
        <w:rPr>
          <w:b/>
        </w:rPr>
      </w:pPr>
      <w:r>
        <w:rPr>
          <w:b/>
        </w:rPr>
        <w:t>Раздел 3. Ожидаемые результаты реализации муниципальной программы</w:t>
      </w:r>
    </w:p>
    <w:p>
      <w:pPr>
        <w:pStyle w:val="Normal"/>
        <w:widowControl w:val="false"/>
        <w:numPr>
          <w:ilvl w:val="0"/>
          <w:numId w:val="0"/>
        </w:numPr>
        <w:ind w:firstLine="426" w:left="0"/>
        <w:jc w:val="center"/>
        <w:outlineLvl w:val="2"/>
        <w:rPr>
          <w:b/>
          <w:sz w:val="22"/>
          <w:szCs w:val="22"/>
        </w:rPr>
      </w:pPr>
      <w:r>
        <w:rPr>
          <w:b/>
          <w:sz w:val="22"/>
          <w:szCs w:val="22"/>
        </w:rPr>
      </w:r>
    </w:p>
    <w:tbl>
      <w:tblPr>
        <w:tblStyle w:val="a7"/>
        <w:tblW w:w="103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1"/>
        <w:gridCol w:w="2840"/>
        <w:gridCol w:w="1819"/>
        <w:gridCol w:w="1563"/>
        <w:gridCol w:w="2169"/>
        <w:gridCol w:w="1480"/>
      </w:tblGrid>
      <w:tr>
        <w:trPr/>
        <w:tc>
          <w:tcPr>
            <w:tcW w:w="471"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пп</w:t>
            </w:r>
          </w:p>
        </w:tc>
        <w:tc>
          <w:tcPr>
            <w:tcW w:w="2840"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Задачи</w:t>
            </w:r>
          </w:p>
        </w:tc>
        <w:tc>
          <w:tcPr>
            <w:tcW w:w="1819"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Решаемые</w:t>
              <w:br/>
              <w:t xml:space="preserve"> проблемы</w:t>
            </w:r>
          </w:p>
        </w:tc>
        <w:tc>
          <w:tcPr>
            <w:tcW w:w="1563" w:type="dxa"/>
            <w:tcBorders/>
            <w:vAlign w:val="center"/>
          </w:tcPr>
          <w:p>
            <w:pPr>
              <w:pStyle w:val="Normal"/>
              <w:widowControl w:val="false"/>
              <w:numPr>
                <w:ilvl w:val="0"/>
                <w:numId w:val="0"/>
              </w:numPr>
              <w:suppressAutoHyphens w:val="true"/>
              <w:spacing w:before="0" w:after="0"/>
              <w:ind w:hanging="0" w:left="0"/>
              <w:jc w:val="left"/>
              <w:outlineLvl w:val="2"/>
              <w:rPr>
                <w:b/>
              </w:rPr>
            </w:pPr>
            <w:r>
              <w:rPr>
                <w:rFonts w:eastAsia="Calibri" w:cs="Times New Roman"/>
                <w:kern w:val="0"/>
                <w:lang w:val="ru-RU" w:eastAsia="en-US" w:bidi="ar-SA"/>
              </w:rPr>
              <w:t>Сроки реализации мероприятий</w:t>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Ожидаемый</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социально-</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экономический эффект</w:t>
            </w:r>
          </w:p>
        </w:tc>
        <w:tc>
          <w:tcPr>
            <w:tcW w:w="1480"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Ответственный</w:t>
              <w:br/>
              <w:t>(участники)</w:t>
            </w:r>
          </w:p>
        </w:tc>
      </w:tr>
      <w:tr>
        <w:trPr/>
        <w:tc>
          <w:tcPr>
            <w:tcW w:w="10342" w:type="dxa"/>
            <w:gridSpan w:val="6"/>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 xml:space="preserve">Цель программы: </w:t>
            </w:r>
            <w:r>
              <w:rPr>
                <w:rFonts w:cs="Times New Roman"/>
                <w:iCs/>
                <w:kern w:val="0"/>
                <w:lang w:val="ru-RU" w:eastAsia="ru-RU" w:bidi="ar-SA"/>
              </w:rPr>
              <w:t>Создание в Северо-Байкальском районе условий эффективной защиты, установленных законодательством РФ прав потребителей</w:t>
            </w:r>
          </w:p>
        </w:tc>
      </w:tr>
      <w:tr>
        <w:trPr/>
        <w:tc>
          <w:tcPr>
            <w:tcW w:w="471" w:type="dxa"/>
            <w:tcBorders/>
          </w:tcPr>
          <w:p>
            <w:pPr>
              <w:pStyle w:val="Normal"/>
              <w:widowControl w:val="false"/>
              <w:numPr>
                <w:ilvl w:val="0"/>
                <w:numId w:val="0"/>
              </w:numPr>
              <w:suppressAutoHyphens w:val="true"/>
              <w:spacing w:before="0" w:after="0"/>
              <w:ind w:hanging="0" w:left="0"/>
              <w:jc w:val="left"/>
              <w:outlineLvl w:val="2"/>
              <w:rPr>
                <w:b/>
              </w:rPr>
            </w:pPr>
            <w:r>
              <w:rPr>
                <w:rFonts w:cs="Times New Roman"/>
                <w:b/>
                <w:kern w:val="0"/>
                <w:lang w:val="ru-RU" w:eastAsia="ru-RU" w:bidi="ar-SA"/>
              </w:rPr>
              <w:t>1</w:t>
            </w:r>
          </w:p>
        </w:tc>
        <w:tc>
          <w:tcPr>
            <w:tcW w:w="2840" w:type="dxa"/>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Содействие повышению правовой грамотности и информированности населения района в вопросах защиты прав потребителей</w:t>
            </w:r>
          </w:p>
        </w:tc>
        <w:tc>
          <w:tcPr>
            <w:tcW w:w="181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недостаточный уровень доступности информации о правах потребителя</w:t>
            </w:r>
          </w:p>
        </w:tc>
        <w:tc>
          <w:tcPr>
            <w:tcW w:w="1563" w:type="dxa"/>
            <w:vMerge w:val="restart"/>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2024-2026</w:t>
            </w:r>
          </w:p>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Повышение уровня доступности информации о правах потребителя и механизмах их защиты, установленных законодательством</w:t>
            </w:r>
          </w:p>
        </w:tc>
        <w:tc>
          <w:tcPr>
            <w:tcW w:w="1480" w:type="dxa"/>
            <w:vMerge w:val="restart"/>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Отдел экономики администрации МО «Северо-Байкальский район»</w:t>
            </w:r>
          </w:p>
        </w:tc>
      </w:tr>
      <w:tr>
        <w:trPr/>
        <w:tc>
          <w:tcPr>
            <w:tcW w:w="471" w:type="dxa"/>
            <w:tcBorders/>
          </w:tcPr>
          <w:p>
            <w:pPr>
              <w:pStyle w:val="Normal"/>
              <w:widowControl w:val="false"/>
              <w:numPr>
                <w:ilvl w:val="0"/>
                <w:numId w:val="0"/>
              </w:numPr>
              <w:suppressAutoHyphens w:val="true"/>
              <w:spacing w:before="0" w:after="0"/>
              <w:ind w:hanging="0" w:left="0"/>
              <w:jc w:val="left"/>
              <w:outlineLvl w:val="2"/>
              <w:rPr>
                <w:b/>
              </w:rPr>
            </w:pPr>
            <w:r>
              <w:rPr>
                <w:rFonts w:cs="Times New Roman"/>
                <w:b/>
                <w:kern w:val="0"/>
                <w:lang w:val="ru-RU" w:eastAsia="ru-RU" w:bidi="ar-SA"/>
              </w:rPr>
              <w:t>2</w:t>
            </w:r>
          </w:p>
        </w:tc>
        <w:tc>
          <w:tcPr>
            <w:tcW w:w="2840"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w:t>
            </w:r>
          </w:p>
        </w:tc>
        <w:tc>
          <w:tcPr>
            <w:tcW w:w="181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Поступление на рынок товаров и услуг ненадлежащего качества</w:t>
            </w:r>
          </w:p>
        </w:tc>
        <w:tc>
          <w:tcPr>
            <w:tcW w:w="1563" w:type="dxa"/>
            <w:vMerge w:val="continue"/>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r>
          </w:p>
        </w:tc>
        <w:tc>
          <w:tcPr>
            <w:tcW w:w="2169" w:type="dxa"/>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Уменьшение и предотвращение поступления на потребительский рынок района товаров и услуг ненадлежащего качества</w:t>
            </w:r>
          </w:p>
        </w:tc>
        <w:tc>
          <w:tcPr>
            <w:tcW w:w="1480" w:type="dxa"/>
            <w:vMerge w:val="continue"/>
            <w:tcBorders/>
          </w:tcPr>
          <w:p>
            <w:pPr>
              <w:pStyle w:val="Normal"/>
              <w:widowControl w:val="false"/>
              <w:numPr>
                <w:ilvl w:val="0"/>
                <w:numId w:val="0"/>
              </w:numPr>
              <w:suppressAutoHyphens w:val="true"/>
              <w:spacing w:before="0" w:after="0"/>
              <w:ind w:hanging="0" w:left="0"/>
              <w:jc w:val="left"/>
              <w:outlineLvl w:val="2"/>
              <w:rPr>
                <w:b/>
              </w:rPr>
            </w:pPr>
            <w:r>
              <w:rPr>
                <w:b/>
              </w:rPr>
            </w:r>
          </w:p>
        </w:tc>
      </w:tr>
    </w:tbl>
    <w:p>
      <w:pPr>
        <w:pStyle w:val="Normal"/>
        <w:widowControl w:val="false"/>
        <w:numPr>
          <w:ilvl w:val="0"/>
          <w:numId w:val="0"/>
        </w:numPr>
        <w:ind w:firstLine="426" w:left="0"/>
        <w:jc w:val="center"/>
        <w:outlineLvl w:val="2"/>
        <w:rPr>
          <w:b/>
        </w:rPr>
      </w:pPr>
      <w:r>
        <w:rPr>
          <w:b/>
        </w:rPr>
        <w:t xml:space="preserve">Раздел 4. Целевые показатели </w:t>
      </w:r>
    </w:p>
    <w:p>
      <w:pPr>
        <w:pStyle w:val="Normal"/>
        <w:widowControl w:val="false"/>
        <w:numPr>
          <w:ilvl w:val="0"/>
          <w:numId w:val="0"/>
        </w:numPr>
        <w:ind w:firstLine="426" w:left="0"/>
        <w:jc w:val="center"/>
        <w:outlineLvl w:val="2"/>
        <w:rPr>
          <w:b/>
        </w:rPr>
      </w:pPr>
      <w:r>
        <w:rPr>
          <w:b/>
        </w:rPr>
      </w:r>
    </w:p>
    <w:tbl>
      <w:tblPr>
        <w:tblStyle w:val="a7"/>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3"/>
        <w:gridCol w:w="1960"/>
        <w:gridCol w:w="1052"/>
        <w:gridCol w:w="1606"/>
        <w:gridCol w:w="884"/>
        <w:gridCol w:w="884"/>
        <w:gridCol w:w="884"/>
        <w:gridCol w:w="887"/>
        <w:gridCol w:w="1224"/>
      </w:tblGrid>
      <w:tr>
        <w:trPr/>
        <w:tc>
          <w:tcPr>
            <w:tcW w:w="813" w:type="dxa"/>
            <w:vMerge w:val="restart"/>
            <w:tcBorders/>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 xml:space="preserve">№ </w:t>
            </w:r>
            <w:r>
              <w:rPr>
                <w:rFonts w:cs="Times New Roman"/>
                <w:color w:val="000000"/>
                <w:kern w:val="0"/>
                <w:lang w:val="ru-RU" w:eastAsia="en-US" w:bidi="ar-SA"/>
              </w:rPr>
              <w:t>п/п</w:t>
            </w:r>
          </w:p>
        </w:tc>
        <w:tc>
          <w:tcPr>
            <w:tcW w:w="1960"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Наименование показателя (индикатора)</w:t>
            </w:r>
          </w:p>
        </w:tc>
        <w:tc>
          <w:tcPr>
            <w:tcW w:w="1052"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Ед.изм.</w:t>
            </w:r>
          </w:p>
        </w:tc>
        <w:tc>
          <w:tcPr>
            <w:tcW w:w="1606" w:type="dxa"/>
            <w:vMerge w:val="restart"/>
            <w:tcBorders/>
            <w:vAlign w:val="center"/>
          </w:tcPr>
          <w:p>
            <w:pPr>
              <w:pStyle w:val="Normal"/>
              <w:widowControl w:val="false"/>
              <w:numPr>
                <w:ilvl w:val="0"/>
                <w:numId w:val="0"/>
              </w:numPr>
              <w:suppressAutoHyphens w:val="true"/>
              <w:spacing w:before="0" w:after="0"/>
              <w:ind w:hanging="0" w:left="0"/>
              <w:jc w:val="center"/>
              <w:outlineLvl w:val="2"/>
              <w:rPr>
                <w:b/>
              </w:rPr>
            </w:pPr>
            <w:r>
              <w:rPr>
                <w:rFonts w:cs="Times New Roman"/>
                <w:color w:val="000000"/>
                <w:kern w:val="0"/>
                <w:lang w:val="ru-RU" w:eastAsia="en-US" w:bidi="ar-SA"/>
              </w:rPr>
              <w:t>Необходимое направление изменений</w:t>
            </w:r>
          </w:p>
        </w:tc>
        <w:tc>
          <w:tcPr>
            <w:tcW w:w="2652" w:type="dxa"/>
            <w:gridSpan w:val="3"/>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Плановые значения</w:t>
            </w:r>
          </w:p>
        </w:tc>
        <w:tc>
          <w:tcPr>
            <w:tcW w:w="887" w:type="dxa"/>
            <w:tcBorders/>
          </w:tcPr>
          <w:p>
            <w:pPr>
              <w:pStyle w:val="Normal"/>
              <w:widowControl/>
              <w:suppressAutoHyphens w:val="true"/>
              <w:spacing w:lineRule="auto" w:line="276" w:before="0" w:after="0"/>
              <w:jc w:val="center"/>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Темпы</w:t>
            </w:r>
          </w:p>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прироста</w:t>
            </w:r>
          </w:p>
          <w:p>
            <w:pPr>
              <w:pStyle w:val="Normal"/>
              <w:widowControl w:val="false"/>
              <w:numPr>
                <w:ilvl w:val="0"/>
                <w:numId w:val="0"/>
              </w:numPr>
              <w:suppressAutoHyphens w:val="true"/>
              <w:spacing w:before="0" w:after="0"/>
              <w:ind w:hanging="0" w:left="0"/>
              <w:jc w:val="center"/>
              <w:outlineLvl w:val="2"/>
              <w:rPr>
                <w:b/>
              </w:rPr>
            </w:pPr>
            <w:r>
              <w:rPr>
                <w:b/>
              </w:rPr>
            </w:r>
          </w:p>
        </w:tc>
      </w:tr>
      <w:tr>
        <w:trPr>
          <w:trHeight w:val="349" w:hRule="atLeast"/>
        </w:trPr>
        <w:tc>
          <w:tcPr>
            <w:tcW w:w="813" w:type="dxa"/>
            <w:vMerge w:val="continue"/>
            <w:tcBorders/>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960"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052"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1606" w:type="dxa"/>
            <w:vMerge w:val="continue"/>
            <w:tcBorders/>
            <w:vAlign w:val="center"/>
          </w:tcPr>
          <w:p>
            <w:pPr>
              <w:pStyle w:val="Normal"/>
              <w:widowControl w:val="false"/>
              <w:numPr>
                <w:ilvl w:val="0"/>
                <w:numId w:val="0"/>
              </w:numPr>
              <w:suppressAutoHyphens w:val="true"/>
              <w:spacing w:before="0" w:after="0"/>
              <w:ind w:hanging="0" w:left="0"/>
              <w:jc w:val="center"/>
              <w:outlineLvl w:val="2"/>
              <w:rPr>
                <w:color w:val="000000"/>
                <w:lang w:eastAsia="en-US"/>
              </w:rPr>
            </w:pPr>
            <w:r>
              <w:rPr>
                <w:color w:val="000000"/>
                <w:lang w:eastAsia="en-US"/>
              </w:rPr>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2024</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2025</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2026</w:t>
            </w:r>
          </w:p>
        </w:tc>
        <w:tc>
          <w:tcPr>
            <w:tcW w:w="887" w:type="dxa"/>
            <w:tcBorders/>
          </w:tcPr>
          <w:p>
            <w:pPr>
              <w:pStyle w:val="Normal"/>
              <w:widowControl w:val="false"/>
              <w:numPr>
                <w:ilvl w:val="0"/>
                <w:numId w:val="0"/>
              </w:numPr>
              <w:suppressAutoHyphens w:val="true"/>
              <w:spacing w:before="0" w:after="0"/>
              <w:ind w:hanging="0" w:left="0"/>
              <w:jc w:val="center"/>
              <w:outlineLvl w:val="2"/>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b/>
              </w:rPr>
            </w:pPr>
            <w:r>
              <w:rPr>
                <w:b/>
              </w:rPr>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iCs/>
                <w:kern w:val="0"/>
                <w:lang w:val="ru-RU" w:eastAsia="ru-RU" w:bidi="ar-SA"/>
              </w:rPr>
              <w:t>Цель программы: Создание в Северо-Байкальском районе условий эффективной защиты, установленных законодательством РФ прав потребителей</w:t>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iCs/>
              </w:rPr>
            </w:pPr>
            <w:r>
              <w:rPr>
                <w:rFonts w:cs="Times New Roman"/>
                <w:kern w:val="0"/>
                <w:lang w:val="ru-RU" w:eastAsia="ru-RU" w:bidi="ar-SA"/>
              </w:rPr>
              <w:t>Задача 1.</w:t>
            </w:r>
            <w:r>
              <w:rPr>
                <w:rFonts w:cs="Times New Roman"/>
                <w:iCs/>
                <w:kern w:val="0"/>
                <w:lang w:val="ru-RU" w:eastAsia="ru-RU" w:bidi="ar-SA"/>
              </w:rPr>
              <w:t xml:space="preserve"> Содействие повышению правовой грамотности и информированности населения района в вопросах защиты прав потребителей</w:t>
            </w:r>
          </w:p>
          <w:p>
            <w:pPr>
              <w:pStyle w:val="Normal"/>
              <w:widowControl w:val="false"/>
              <w:numPr>
                <w:ilvl w:val="0"/>
                <w:numId w:val="0"/>
              </w:numPr>
              <w:suppressAutoHyphens w:val="true"/>
              <w:spacing w:before="0" w:after="0"/>
              <w:ind w:hanging="0" w:left="0"/>
              <w:jc w:val="center"/>
              <w:outlineLvl w:val="2"/>
              <w:rPr>
                <w:b/>
              </w:rPr>
            </w:pPr>
            <w:r>
              <w:rPr>
                <w:b/>
              </w:rPr>
            </w:r>
          </w:p>
        </w:tc>
      </w:tr>
      <w:tr>
        <w:trPr/>
        <w:tc>
          <w:tcPr>
            <w:tcW w:w="10194" w:type="dxa"/>
            <w:gridSpan w:val="9"/>
            <w:tcBorders/>
          </w:tcPr>
          <w:p>
            <w:pPr>
              <w:pStyle w:val="Normal"/>
              <w:widowControl w:val="false"/>
              <w:numPr>
                <w:ilvl w:val="0"/>
                <w:numId w:val="0"/>
              </w:numPr>
              <w:suppressAutoHyphens w:val="true"/>
              <w:spacing w:before="0" w:after="0"/>
              <w:ind w:hanging="0" w:left="0"/>
              <w:jc w:val="left"/>
              <w:outlineLvl w:val="2"/>
              <w:rPr>
                <w:rFonts w:cs="Times New Roman"/>
                <w:kern w:val="0"/>
                <w:lang w:val="ru-RU" w:eastAsia="ru-RU" w:bidi="ar-SA"/>
              </w:rPr>
            </w:pPr>
            <w:r>
              <w:rPr>
                <w:rFonts w:cs="Times New Roman"/>
                <w:kern w:val="0"/>
                <w:lang w:val="ru-RU" w:eastAsia="ru-RU" w:bidi="ar-SA"/>
              </w:rPr>
              <w:t>Целевой показатель</w:t>
            </w:r>
          </w:p>
        </w:tc>
      </w:tr>
      <w:tr>
        <w:trPr/>
        <w:tc>
          <w:tcPr>
            <w:tcW w:w="813"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1</w:t>
            </w:r>
          </w:p>
        </w:tc>
        <w:tc>
          <w:tcPr>
            <w:tcW w:w="1960"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r>
          </w:p>
        </w:tc>
        <w:tc>
          <w:tcPr>
            <w:tcW w:w="1052"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Ед.</w:t>
            </w:r>
          </w:p>
        </w:tc>
        <w:tc>
          <w:tcPr>
            <w:tcW w:w="1606"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en-US" w:eastAsia="ru-RU" w:bidi="ar-SA"/>
              </w:rPr>
              <w:t>&gt;</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3</w:t>
            </w:r>
          </w:p>
        </w:tc>
        <w:tc>
          <w:tcPr>
            <w:tcW w:w="887"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r>
          </w:p>
        </w:tc>
        <w:tc>
          <w:tcPr>
            <w:tcW w:w="122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50</w:t>
            </w:r>
          </w:p>
        </w:tc>
      </w:tr>
      <w:tr>
        <w:trPr/>
        <w:tc>
          <w:tcPr>
            <w:tcW w:w="10194" w:type="dxa"/>
            <w:gridSpan w:val="9"/>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iCs/>
                <w:kern w:val="0"/>
                <w:lang w:val="ru-RU" w:eastAsia="ru-RU" w:bidi="ar-SA"/>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c>
          <w:tcPr>
            <w:tcW w:w="10194" w:type="dxa"/>
            <w:gridSpan w:val="9"/>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Целевой показатель</w:t>
            </w:r>
          </w:p>
        </w:tc>
      </w:tr>
      <w:tr>
        <w:trPr/>
        <w:tc>
          <w:tcPr>
            <w:tcW w:w="813"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1960"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количество консультаций в сфере защиты прав потребителей, в т.ч. в онлайн -режиме</w:t>
            </w:r>
          </w:p>
          <w:p>
            <w:pPr>
              <w:pStyle w:val="Normal"/>
              <w:widowControl w:val="false"/>
              <w:numPr>
                <w:ilvl w:val="0"/>
                <w:numId w:val="0"/>
              </w:numPr>
              <w:suppressAutoHyphens w:val="true"/>
              <w:spacing w:before="0" w:after="0"/>
              <w:ind w:hanging="0" w:left="0"/>
              <w:jc w:val="center"/>
              <w:outlineLvl w:val="2"/>
              <w:rPr>
                <w:b/>
              </w:rPr>
            </w:pPr>
            <w:r>
              <w:rPr>
                <w:b/>
              </w:rPr>
            </w:r>
          </w:p>
        </w:tc>
        <w:tc>
          <w:tcPr>
            <w:tcW w:w="1052"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Ед.</w:t>
            </w:r>
          </w:p>
        </w:tc>
        <w:tc>
          <w:tcPr>
            <w:tcW w:w="1606" w:type="dxa"/>
            <w:tcBorders/>
          </w:tcPr>
          <w:p>
            <w:pPr>
              <w:pStyle w:val="Normal"/>
              <w:widowControl w:val="false"/>
              <w:numPr>
                <w:ilvl w:val="0"/>
                <w:numId w:val="0"/>
              </w:numPr>
              <w:suppressAutoHyphens w:val="true"/>
              <w:spacing w:before="0" w:after="0"/>
              <w:ind w:hanging="0" w:left="0"/>
              <w:jc w:val="center"/>
              <w:outlineLvl w:val="2"/>
              <w:rPr>
                <w:b/>
              </w:rPr>
            </w:pPr>
            <w:r>
              <w:rPr>
                <w:rFonts w:cs="Times New Roman"/>
                <w:b/>
                <w:kern w:val="0"/>
                <w:lang w:val="ru-RU" w:eastAsia="ru-RU" w:bidi="ar-SA"/>
              </w:rPr>
              <w:t>&gt;</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2</w:t>
            </w:r>
          </w:p>
        </w:tc>
        <w:tc>
          <w:tcPr>
            <w:tcW w:w="88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3</w:t>
            </w:r>
          </w:p>
        </w:tc>
        <w:tc>
          <w:tcPr>
            <w:tcW w:w="887" w:type="dxa"/>
            <w:tcBorders/>
          </w:tcPr>
          <w:p>
            <w:pPr>
              <w:pStyle w:val="Normal"/>
              <w:widowControl w:val="false"/>
              <w:numPr>
                <w:ilvl w:val="0"/>
                <w:numId w:val="0"/>
              </w:numPr>
              <w:suppressAutoHyphens w:val="true"/>
              <w:spacing w:before="0" w:after="0"/>
              <w:ind w:hanging="0" w:left="0"/>
              <w:jc w:val="center"/>
              <w:outlineLvl w:val="2"/>
              <w:rPr>
                <w:b/>
              </w:rPr>
            </w:pPr>
            <w:r>
              <w:rPr>
                <w:b/>
              </w:rPr>
            </w:r>
          </w:p>
        </w:tc>
        <w:tc>
          <w:tcPr>
            <w:tcW w:w="1224" w:type="dxa"/>
            <w:tcBorders/>
          </w:tcPr>
          <w:p>
            <w:pPr>
              <w:pStyle w:val="Normal"/>
              <w:widowControl w:val="false"/>
              <w:numPr>
                <w:ilvl w:val="0"/>
                <w:numId w:val="0"/>
              </w:numPr>
              <w:suppressAutoHyphens w:val="true"/>
              <w:spacing w:before="0" w:after="0"/>
              <w:ind w:hanging="0" w:left="0"/>
              <w:jc w:val="center"/>
              <w:outlineLvl w:val="2"/>
              <w:rPr>
                <w:rFonts w:cs="Times New Roman"/>
                <w:kern w:val="0"/>
                <w:lang w:val="ru-RU" w:eastAsia="ru-RU" w:bidi="ar-SA"/>
              </w:rPr>
            </w:pPr>
            <w:r>
              <w:rPr>
                <w:rFonts w:cs="Times New Roman"/>
                <w:kern w:val="0"/>
                <w:lang w:val="ru-RU" w:eastAsia="ru-RU" w:bidi="ar-SA"/>
              </w:rPr>
              <w:t>50</w:t>
            </w:r>
          </w:p>
        </w:tc>
      </w:tr>
    </w:tbl>
    <w:p>
      <w:pPr>
        <w:pStyle w:val="Normal"/>
        <w:widowControl w:val="false"/>
        <w:numPr>
          <w:ilvl w:val="0"/>
          <w:numId w:val="0"/>
        </w:numPr>
        <w:ind w:firstLine="426" w:left="0"/>
        <w:jc w:val="center"/>
        <w:outlineLvl w:val="2"/>
        <w:rPr>
          <w:b/>
        </w:rPr>
      </w:pPr>
      <w:r>
        <w:rPr>
          <w:b/>
        </w:rPr>
      </w:r>
    </w:p>
    <w:tbl>
      <w:tblPr>
        <w:tblpPr w:vertAnchor="text" w:horzAnchor="margin" w:tblpXSpec="center" w:leftFromText="180" w:rightFromText="180" w:tblpY="468"/>
        <w:tblW w:w="11055"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11055"/>
      </w:tblGrid>
      <w:tr>
        <w:trPr>
          <w:trHeight w:val="213" w:hRule="atLeast"/>
        </w:trPr>
        <w:tc>
          <w:tcPr>
            <w:tcW w:w="11055" w:type="dxa"/>
            <w:tcBorders>
              <w:top w:val="single" w:sz="4" w:space="0" w:color="000000"/>
            </w:tcBorders>
          </w:tcPr>
          <w:p>
            <w:pPr>
              <w:pStyle w:val="Normal"/>
              <w:widowControl w:val="false"/>
              <w:numPr>
                <w:ilvl w:val="0"/>
                <w:numId w:val="0"/>
              </w:numPr>
              <w:ind w:firstLine="426" w:left="0"/>
              <w:jc w:val="center"/>
              <w:outlineLvl w:val="2"/>
              <w:rPr>
                <w:sz w:val="20"/>
                <w:szCs w:val="20"/>
              </w:rPr>
            </w:pPr>
            <w:r>
              <w:rPr>
                <w:sz w:val="20"/>
                <w:szCs w:val="20"/>
              </w:rPr>
            </w:r>
          </w:p>
          <w:p>
            <w:pPr>
              <w:pStyle w:val="Normal"/>
              <w:widowControl w:val="false"/>
              <w:numPr>
                <w:ilvl w:val="0"/>
                <w:numId w:val="0"/>
              </w:numPr>
              <w:ind w:firstLine="426" w:left="0"/>
              <w:outlineLvl w:val="2"/>
              <w:rPr>
                <w:sz w:val="20"/>
                <w:szCs w:val="20"/>
              </w:rPr>
            </w:pPr>
            <w:r>
              <w:rPr>
                <w:sz w:val="20"/>
                <w:szCs w:val="20"/>
              </w:rPr>
              <w:t>&lt;1&gt; Увеличение значения показателя (прямой показатель): &lt;-уменьшение значения (обратный показатель); 0-без изменения</w:t>
            </w:r>
          </w:p>
        </w:tc>
      </w:tr>
      <w:tr>
        <w:trPr>
          <w:trHeight w:val="213" w:hRule="atLeast"/>
        </w:trPr>
        <w:tc>
          <w:tcPr>
            <w:tcW w:w="11055" w:type="dxa"/>
            <w:tcBorders/>
          </w:tcPr>
          <w:p>
            <w:pPr>
              <w:pStyle w:val="Normal"/>
              <w:widowControl w:val="false"/>
              <w:numPr>
                <w:ilvl w:val="0"/>
                <w:numId w:val="0"/>
              </w:numPr>
              <w:ind w:firstLine="426" w:left="0"/>
              <w:outlineLvl w:val="2"/>
              <w:rPr>
                <w:sz w:val="20"/>
                <w:szCs w:val="20"/>
              </w:rPr>
            </w:pPr>
            <w:r>
              <w:rPr>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(гр.10/гр.6*100-100)</w:t>
            </w:r>
          </w:p>
        </w:tc>
      </w:tr>
    </w:tbl>
    <w:p>
      <w:pPr>
        <w:pStyle w:val="Normal"/>
        <w:widowControl w:val="false"/>
        <w:numPr>
          <w:ilvl w:val="0"/>
          <w:numId w:val="0"/>
        </w:numPr>
        <w:ind w:firstLine="426" w:left="0"/>
        <w:jc w:val="center"/>
        <w:outlineLvl w:val="2"/>
        <w:rPr>
          <w:b/>
        </w:rPr>
      </w:pPr>
      <w:r>
        <w:rPr>
          <w:b/>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pPr>
      <w:r>
        <w:rPr/>
        <w:t>Информация о порядке расчета значений целевых индикаторов муниципальной программы</w:t>
      </w:r>
    </w:p>
    <w:tbl>
      <w:tblPr>
        <w:tblpPr w:vertAnchor="text" w:horzAnchor="margin" w:leftFromText="180" w:rightFromText="180" w:tblpX="-669" w:tblpY="235"/>
        <w:tblW w:w="10590"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04"/>
        <w:gridCol w:w="3653"/>
        <w:gridCol w:w="1275"/>
        <w:gridCol w:w="2691"/>
        <w:gridCol w:w="2267"/>
      </w:tblGrid>
      <w:tr>
        <w:trPr>
          <w:trHeight w:val="874"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hanging="0" w:left="0"/>
              <w:jc w:val="center"/>
              <w:outlineLvl w:val="2"/>
              <w:rPr/>
            </w:pPr>
            <w:r>
              <w:rPr/>
            </w:r>
          </w:p>
          <w:p>
            <w:pPr>
              <w:pStyle w:val="Normal"/>
              <w:widowControl w:val="false"/>
              <w:numPr>
                <w:ilvl w:val="0"/>
                <w:numId w:val="0"/>
              </w:numPr>
              <w:ind w:hanging="0" w:left="0"/>
              <w:jc w:val="center"/>
              <w:outlineLvl w:val="2"/>
              <w:rPr/>
            </w:pPr>
            <w:r>
              <w:rPr/>
              <w:t xml:space="preserve">№ </w:t>
            </w:r>
            <w:r>
              <w:rPr/>
              <w:t>пп</w:t>
            </w:r>
          </w:p>
        </w:tc>
        <w:tc>
          <w:tcPr>
            <w:tcW w:w="3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Наименование показателя (индикатора)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hanging="0" w:left="0"/>
              <w:outlineLvl w:val="2"/>
              <w:rPr/>
            </w:pPr>
            <w:r>
              <w:rPr/>
              <w:t>Ед. изм.</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Методика расчета целевого показателя (индикатора) &lt;1&gt;</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outlineLvl w:val="2"/>
              <w:rPr/>
            </w:pPr>
            <w:r>
              <w:rPr/>
              <w:t>Источник полученных данных</w:t>
            </w:r>
          </w:p>
        </w:tc>
      </w:tr>
      <w:tr>
        <w:trPr>
          <w:trHeight w:val="44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right"/>
              <w:outlineLvl w:val="2"/>
              <w:rPr/>
            </w:pPr>
            <w:r>
              <w:rPr/>
              <w:t>1</w:t>
            </w:r>
          </w:p>
        </w:tc>
        <w:tc>
          <w:tcPr>
            <w:tcW w:w="36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hanging="0" w:left="0"/>
              <w:outlineLvl w:val="2"/>
              <w:rPr>
                <w:iCs/>
              </w:rPr>
            </w:pPr>
            <w:r>
              <w:rPr>
                <w:iCs/>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numPr>
                <w:ilvl w:val="0"/>
                <w:numId w:val="0"/>
              </w:numPr>
              <w:ind w:firstLine="426" w:left="0"/>
              <w:jc w:val="center"/>
              <w:outlineLvl w:val="2"/>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Ед.</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t>отчет</w:t>
            </w:r>
          </w:p>
        </w:tc>
      </w:tr>
      <w:tr>
        <w:trPr>
          <w:trHeight w:val="44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right"/>
              <w:outlineLvl w:val="2"/>
              <w:rPr/>
            </w:pPr>
            <w:r>
              <w:rPr/>
              <w:t>2</w:t>
            </w:r>
          </w:p>
        </w:tc>
        <w:tc>
          <w:tcPr>
            <w:tcW w:w="36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hanging="0" w:left="0"/>
              <w:jc w:val="both"/>
              <w:outlineLvl w:val="2"/>
              <w:rPr>
                <w:iCs/>
              </w:rPr>
            </w:pPr>
            <w:r>
              <w:rPr>
                <w:iCs/>
              </w:rPr>
              <w:t>количество консультаций в сфере защиты прав потребителей, в т.ч. в онлайн -режиме</w:t>
            </w:r>
          </w:p>
          <w:p>
            <w:pPr>
              <w:pStyle w:val="Normal"/>
              <w:widowControl w:val="false"/>
              <w:numPr>
                <w:ilvl w:val="0"/>
                <w:numId w:val="0"/>
              </w:numPr>
              <w:ind w:firstLine="426" w:left="0"/>
              <w:jc w:val="center"/>
              <w:outlineLvl w:val="2"/>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firstLine="426" w:left="0"/>
              <w:jc w:val="center"/>
              <w:outlineLvl w:val="2"/>
              <w:rPr/>
            </w:pPr>
            <w:r>
              <w:rPr/>
              <w:t>Ед.</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firstLine="426" w:left="0"/>
              <w:jc w:val="center"/>
              <w:outlineLvl w:val="2"/>
              <w:rPr/>
            </w:pPr>
            <w:r>
              <w:rPr/>
              <w:t>отчет</w:t>
            </w:r>
          </w:p>
        </w:tc>
      </w:tr>
    </w:tbl>
    <w:p>
      <w:pPr>
        <w:pStyle w:val="Normal"/>
        <w:widowControl w:val="false"/>
        <w:numPr>
          <w:ilvl w:val="0"/>
          <w:numId w:val="0"/>
        </w:numPr>
        <w:ind w:firstLine="426" w:left="0"/>
        <w:jc w:val="center"/>
        <w:outlineLvl w:val="2"/>
        <w:rPr/>
      </w:pPr>
      <w:r>
        <w:rPr/>
      </w:r>
    </w:p>
    <w:p>
      <w:pPr>
        <w:pStyle w:val="Normal"/>
        <w:widowControl w:val="false"/>
        <w:numPr>
          <w:ilvl w:val="0"/>
          <w:numId w:val="0"/>
        </w:numPr>
        <w:ind w:firstLine="426" w:left="0"/>
        <w:jc w:val="center"/>
        <w:outlineLvl w:val="2"/>
        <w:rPr>
          <w:b/>
        </w:rPr>
      </w:pPr>
      <w:r>
        <w:rPr>
          <w:b/>
        </w:rPr>
        <w:t>Раздел 5. Срок реализации</w:t>
      </w:r>
    </w:p>
    <w:p>
      <w:pPr>
        <w:pStyle w:val="Normal"/>
        <w:widowControl w:val="false"/>
        <w:numPr>
          <w:ilvl w:val="0"/>
          <w:numId w:val="0"/>
        </w:numPr>
        <w:ind w:firstLine="567" w:left="0"/>
        <w:outlineLvl w:val="2"/>
        <w:rPr/>
      </w:pPr>
      <w:r>
        <w:rPr/>
        <w:t>Реализация Программа рассчитана на 2024 – 2026 годы.</w:t>
      </w:r>
    </w:p>
    <w:p>
      <w:pPr>
        <w:pStyle w:val="Normal"/>
        <w:widowControl w:val="false"/>
        <w:numPr>
          <w:ilvl w:val="0"/>
          <w:numId w:val="0"/>
        </w:numPr>
        <w:ind w:firstLine="426" w:left="0"/>
        <w:outlineLvl w:val="2"/>
        <w:rPr/>
      </w:pPr>
      <w:r>
        <w:rPr/>
      </w:r>
    </w:p>
    <w:p>
      <w:pPr>
        <w:pStyle w:val="Normal"/>
        <w:widowControl w:val="false"/>
        <w:numPr>
          <w:ilvl w:val="0"/>
          <w:numId w:val="0"/>
        </w:numPr>
        <w:ind w:firstLine="426" w:left="0"/>
        <w:jc w:val="center"/>
        <w:outlineLvl w:val="2"/>
        <w:rPr>
          <w:b/>
          <w:iCs/>
        </w:rPr>
      </w:pPr>
      <w:r>
        <w:rPr>
          <w:b/>
          <w:iCs/>
        </w:rPr>
        <w:t>Раздел 6. Перечень мероприятий и ресурсное обеспечение муниципальной программы</w:t>
      </w:r>
    </w:p>
    <w:p>
      <w:pPr>
        <w:pStyle w:val="Normal"/>
        <w:widowControl w:val="false"/>
        <w:numPr>
          <w:ilvl w:val="0"/>
          <w:numId w:val="0"/>
        </w:numPr>
        <w:ind w:firstLine="567" w:left="0"/>
        <w:jc w:val="both"/>
        <w:outlineLvl w:val="2"/>
        <w:rPr>
          <w:b/>
          <w:iCs/>
        </w:rPr>
      </w:pPr>
      <w:r>
        <w:rPr>
          <w:iCs/>
        </w:rPr>
        <w:t xml:space="preserve">В муниципальной программе предусмотрены мероприятия, реализация которых в настоящее время не требует финансового обеспечения. Основные мероприятия программы направлены на реализацию поставленных целей и задач. </w:t>
      </w:r>
    </w:p>
    <w:p>
      <w:pPr>
        <w:pStyle w:val="Normal"/>
        <w:widowControl w:val="false"/>
        <w:numPr>
          <w:ilvl w:val="0"/>
          <w:numId w:val="0"/>
        </w:numPr>
        <w:ind w:firstLine="426" w:left="0"/>
        <w:jc w:val="both"/>
        <w:outlineLvl w:val="2"/>
        <w:rPr>
          <w:iCs/>
        </w:rPr>
      </w:pPr>
      <w:r>
        <w:rPr>
          <w:iCs/>
        </w:rPr>
        <w:t xml:space="preserve">                                                                                                                                              </w:t>
      </w:r>
    </w:p>
    <w:tbl>
      <w:tblPr>
        <w:tblStyle w:val="a7"/>
        <w:tblW w:w="100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7"/>
        <w:gridCol w:w="3441"/>
        <w:gridCol w:w="2437"/>
        <w:gridCol w:w="1389"/>
        <w:gridCol w:w="1956"/>
        <w:gridCol w:w="17"/>
      </w:tblGrid>
      <w:tr>
        <w:trPr/>
        <w:tc>
          <w:tcPr>
            <w:tcW w:w="807"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 xml:space="preserve">№ </w:t>
            </w:r>
            <w:r>
              <w:rPr>
                <w:rFonts w:cs="Times New Roman"/>
                <w:iCs/>
                <w:kern w:val="0"/>
                <w:lang w:val="ru-RU" w:eastAsia="ru-RU" w:bidi="ar-SA"/>
              </w:rPr>
              <w:t>п/п</w:t>
            </w:r>
          </w:p>
        </w:tc>
        <w:tc>
          <w:tcPr>
            <w:tcW w:w="3441" w:type="dxa"/>
            <w:tcBorders/>
          </w:tcPr>
          <w:p>
            <w:pPr>
              <w:pStyle w:val="Normal"/>
              <w:widowControl w:val="false"/>
              <w:numPr>
                <w:ilvl w:val="0"/>
                <w:numId w:val="0"/>
              </w:numPr>
              <w:suppressAutoHyphens w:val="true"/>
              <w:spacing w:before="0" w:after="0"/>
              <w:ind w:firstLine="426" w:left="0"/>
              <w:jc w:val="center"/>
              <w:outlineLvl w:val="2"/>
              <w:rPr>
                <w:iCs/>
              </w:rPr>
            </w:pPr>
            <w:r>
              <w:rPr>
                <w:rFonts w:cs="Times New Roman"/>
                <w:iCs/>
                <w:kern w:val="0"/>
                <w:lang w:val="ru-RU" w:eastAsia="ru-RU" w:bidi="ar-SA"/>
              </w:rPr>
              <w:t>Мероприятие</w:t>
            </w:r>
          </w:p>
        </w:tc>
        <w:tc>
          <w:tcPr>
            <w:tcW w:w="2437"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Ответственные исполнители</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Срок исполнения</w:t>
            </w:r>
          </w:p>
        </w:tc>
        <w:tc>
          <w:tcPr>
            <w:tcW w:w="1956"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Ресурсное обеспечение Программы</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10047" w:type="dxa"/>
            <w:gridSpan w:val="6"/>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Задача 1. Содействие повышению правовой грамотности и информированности населения района в вопросах защиты прав потребителей</w:t>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1</w:t>
            </w:r>
          </w:p>
        </w:tc>
        <w:tc>
          <w:tcPr>
            <w:tcW w:w="3441" w:type="dxa"/>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Оказание правовой помощи потребителям в составлении претензий, исковых заявлений, участие в судебных процессах</w:t>
            </w:r>
          </w:p>
        </w:tc>
        <w:tc>
          <w:tcPr>
            <w:tcW w:w="2437" w:type="dxa"/>
            <w:tcBorders/>
          </w:tcPr>
          <w:p>
            <w:pPr>
              <w:pStyle w:val="Normal"/>
              <w:widowControl w:val="false"/>
              <w:numPr>
                <w:ilvl w:val="0"/>
                <w:numId w:val="0"/>
              </w:numPr>
              <w:suppressAutoHyphens w:val="true"/>
              <w:spacing w:before="0" w:after="0"/>
              <w:ind w:firstLine="172" w:left="0"/>
              <w:jc w:val="left"/>
              <w:outlineLvl w:val="2"/>
              <w:rPr/>
            </w:pPr>
            <w:r>
              <w:rPr>
                <w:rFonts w:cs="Times New Roman"/>
                <w:iCs/>
                <w:kern w:val="0"/>
                <w:lang w:val="ru-RU" w:eastAsia="ru-RU" w:bidi="ar-SA"/>
              </w:rPr>
              <w:t>Отдел экономики администрации МО «Северо-Байкальский район»</w:t>
            </w:r>
          </w:p>
          <w:p>
            <w:pPr>
              <w:pStyle w:val="Normal"/>
              <w:widowControl w:val="false"/>
              <w:numPr>
                <w:ilvl w:val="0"/>
                <w:numId w:val="0"/>
              </w:numPr>
              <w:suppressAutoHyphens w:val="true"/>
              <w:spacing w:before="0" w:after="0"/>
              <w:ind w:firstLine="172" w:left="0"/>
              <w:jc w:val="left"/>
              <w:outlineLvl w:val="2"/>
              <w:rPr/>
            </w:pP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2</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Информирование населения через СМИ:</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проводимых районных мероприятиях в области защиты прав потребителей;</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методах защиты от недоброкачественных и фальсифицированных товаров;</w:t>
            </w:r>
          </w:p>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 о защите прав потребителей в различных сферах потребительского рынка товаров и услуг</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hanging="0" w:left="0"/>
              <w:jc w:val="center"/>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10047" w:type="dxa"/>
            <w:gridSpan w:val="6"/>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rHeight w:val="1982" w:hRule="atLeast"/>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1</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Проведение мониторинга качества и безопасности товаров (работ, услуг), реализуемых на потребительском рынке района</w:t>
            </w:r>
          </w:p>
        </w:tc>
        <w:tc>
          <w:tcPr>
            <w:tcW w:w="2437" w:type="dxa"/>
            <w:tcBorders/>
          </w:tcPr>
          <w:p>
            <w:pPr>
              <w:pStyle w:val="Normal"/>
              <w:widowControl w:val="false"/>
              <w:numPr>
                <w:ilvl w:val="0"/>
                <w:numId w:val="0"/>
              </w:numPr>
              <w:suppressAutoHyphens w:val="true"/>
              <w:spacing w:before="0" w:after="0"/>
              <w:ind w:firstLine="426" w:left="0"/>
              <w:jc w:val="left"/>
              <w:outlineLvl w:val="2"/>
              <w:rPr/>
            </w:pPr>
            <w:r>
              <w:rPr>
                <w:rFonts w:cs="Times New Roman"/>
                <w:bCs/>
                <w:iCs/>
                <w:kern w:val="0"/>
                <w:lang w:val="ru-RU" w:eastAsia="ru-RU" w:bidi="ar-SA"/>
              </w:rPr>
              <w:t>Отдел экономики администрации МО «Северо-</w:t>
            </w:r>
            <w:r>
              <w:rPr>
                <w:rFonts w:cs="Times New Roman"/>
                <w:bCs/>
                <w:iCs/>
                <w:kern w:val="0"/>
                <w:lang w:val="ru-RU" w:eastAsia="ru-RU" w:bidi="ar-SA"/>
              </w:rPr>
              <w:t>Б</w:t>
            </w:r>
            <w:r>
              <w:rPr>
                <w:rFonts w:cs="Times New Roman"/>
                <w:bCs/>
                <w:iCs/>
                <w:kern w:val="0"/>
                <w:lang w:val="ru-RU" w:eastAsia="ru-RU" w:bidi="ar-SA"/>
              </w:rPr>
              <w:t>айкальский район»</w:t>
            </w:r>
          </w:p>
          <w:p>
            <w:pPr>
              <w:pStyle w:val="Normal"/>
              <w:widowControl w:val="false"/>
              <w:numPr>
                <w:ilvl w:val="0"/>
                <w:numId w:val="0"/>
              </w:numPr>
              <w:suppressAutoHyphens w:val="true"/>
              <w:spacing w:before="0" w:after="0"/>
              <w:ind w:firstLine="426" w:left="0"/>
              <w:jc w:val="left"/>
              <w:outlineLvl w:val="2"/>
              <w:rPr/>
            </w:pPr>
            <w:r>
              <w:rPr>
                <w:rFonts w:cs="Times New Roman"/>
                <w:bCs/>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2</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Подготовка и проведение семинаров (круглых столов) с руководителями предприятий потребительского рынка района по вопросам защиты прав потребителей, в т. ч. в онлайн-режиме</w:t>
            </w:r>
          </w:p>
        </w:tc>
        <w:tc>
          <w:tcPr>
            <w:tcW w:w="2437" w:type="dxa"/>
            <w:tcBorders/>
          </w:tcPr>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Отдел экономики администрации МО «Северо-Байкальский район»</w:t>
            </w:r>
          </w:p>
          <w:p>
            <w:pPr>
              <w:pStyle w:val="Normal"/>
              <w:widowControl w:val="false"/>
              <w:numPr>
                <w:ilvl w:val="0"/>
                <w:numId w:val="0"/>
              </w:numPr>
              <w:suppressAutoHyphens w:val="true"/>
              <w:spacing w:before="0" w:after="0"/>
              <w:ind w:hanging="0" w:left="0"/>
              <w:jc w:val="left"/>
              <w:outlineLvl w:val="2"/>
              <w:rPr>
                <w:iCs/>
              </w:rPr>
            </w:pPr>
            <w:r>
              <w:rPr>
                <w:rFonts w:cs="Times New Roman"/>
                <w:iCs/>
                <w:kern w:val="0"/>
                <w:lang w:val="ru-RU" w:eastAsia="ru-RU" w:bidi="ar-SA"/>
              </w:rPr>
              <w:t xml:space="preserve">  </w:t>
            </w:r>
            <w:r>
              <w:rPr>
                <w:rFonts w:cs="Times New Roman"/>
                <w:iCs/>
                <w:kern w:val="0"/>
                <w:lang w:val="ru-RU" w:eastAsia="ru-RU" w:bidi="ar-SA"/>
              </w:rPr>
              <w:t>Территориальный отдел Управления Роспотребнадзора по Республике Бурятия в Северо-Байкальском районе</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3</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Информирование предприятий, предпринимателей и население района об опасной продукции, некачественных производителях и пр. аналогичной информацией</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r>
        <w:trPr/>
        <w:tc>
          <w:tcPr>
            <w:tcW w:w="807" w:type="dxa"/>
            <w:tcBorders/>
          </w:tcPr>
          <w:p>
            <w:pPr>
              <w:pStyle w:val="Normal"/>
              <w:widowControl w:val="false"/>
              <w:numPr>
                <w:ilvl w:val="0"/>
                <w:numId w:val="0"/>
              </w:numPr>
              <w:suppressAutoHyphens w:val="true"/>
              <w:spacing w:before="0" w:after="0"/>
              <w:ind w:firstLine="426" w:left="0"/>
              <w:jc w:val="both"/>
              <w:outlineLvl w:val="2"/>
              <w:rPr>
                <w:iCs/>
              </w:rPr>
            </w:pPr>
            <w:r>
              <w:rPr>
                <w:rFonts w:cs="Times New Roman"/>
                <w:iCs/>
                <w:kern w:val="0"/>
                <w:lang w:val="ru-RU" w:eastAsia="ru-RU" w:bidi="ar-SA"/>
              </w:rPr>
              <w:t>4</w:t>
            </w:r>
          </w:p>
        </w:tc>
        <w:tc>
          <w:tcPr>
            <w:tcW w:w="3441"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Организация и обеспечение работы телефона «горячей линии» по вопросам защиты прав потребителей</w:t>
            </w:r>
          </w:p>
        </w:tc>
        <w:tc>
          <w:tcPr>
            <w:tcW w:w="2437"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Отдел экономики администрации МО «Северо-Байкальский район»</w:t>
            </w:r>
          </w:p>
        </w:tc>
        <w:tc>
          <w:tcPr>
            <w:tcW w:w="1389" w:type="dxa"/>
            <w:tcBorders/>
          </w:tcPr>
          <w:p>
            <w:pPr>
              <w:pStyle w:val="Normal"/>
              <w:widowControl w:val="false"/>
              <w:numPr>
                <w:ilvl w:val="0"/>
                <w:numId w:val="0"/>
              </w:numPr>
              <w:suppressAutoHyphens w:val="true"/>
              <w:spacing w:before="0" w:after="0"/>
              <w:ind w:firstLine="10" w:left="0"/>
              <w:jc w:val="both"/>
              <w:outlineLvl w:val="2"/>
              <w:rPr>
                <w:iCs/>
              </w:rPr>
            </w:pPr>
            <w:r>
              <w:rPr>
                <w:rFonts w:cs="Times New Roman"/>
                <w:iCs/>
                <w:kern w:val="0"/>
                <w:lang w:val="ru-RU" w:eastAsia="ru-RU" w:bidi="ar-SA"/>
              </w:rPr>
              <w:t>2024-2026</w:t>
            </w:r>
          </w:p>
        </w:tc>
        <w:tc>
          <w:tcPr>
            <w:tcW w:w="1956" w:type="dxa"/>
            <w:tcBorders/>
          </w:tcPr>
          <w:p>
            <w:pPr>
              <w:pStyle w:val="Normal"/>
              <w:widowControl w:val="false"/>
              <w:numPr>
                <w:ilvl w:val="0"/>
                <w:numId w:val="0"/>
              </w:numPr>
              <w:suppressAutoHyphens w:val="true"/>
              <w:spacing w:before="0" w:after="0"/>
              <w:ind w:hanging="0" w:left="0"/>
              <w:jc w:val="both"/>
              <w:outlineLvl w:val="2"/>
              <w:rPr>
                <w:iCs/>
              </w:rPr>
            </w:pPr>
            <w:r>
              <w:rPr>
                <w:rFonts w:cs="Times New Roman"/>
                <w:iCs/>
                <w:kern w:val="0"/>
                <w:lang w:val="ru-RU" w:eastAsia="ru-RU" w:bidi="ar-SA"/>
              </w:rPr>
              <w:t>Финансирование не предусмотрено</w:t>
            </w:r>
          </w:p>
        </w:tc>
        <w:tc>
          <w:tcPr>
            <w:tcW w:w="17" w:type="dxa"/>
            <w:tcBorders>
              <w:top w:val="nil"/>
              <w:left w:val="nil"/>
              <w:bottom w:val="nil"/>
              <w:right w:val="nil"/>
            </w:tcBorders>
          </w:tcPr>
          <w:p>
            <w:pPr>
              <w:pStyle w:val="Normal"/>
              <w:widowControl/>
              <w:suppressAutoHyphens w:val="true"/>
              <w:spacing w:before="0" w:after="0"/>
              <w:jc w:val="left"/>
              <w:rPr>
                <w:rFonts w:cs="Times New Roman"/>
                <w:kern w:val="0"/>
                <w:lang w:val="ru-RU" w:eastAsia="ru-RU" w:bidi="ar-SA"/>
              </w:rPr>
            </w:pPr>
            <w:r>
              <w:rPr>
                <w:rFonts w:cs="Times New Roman"/>
                <w:kern w:val="0"/>
                <w:lang w:val="ru-RU" w:eastAsia="ru-RU" w:bidi="ar-SA"/>
              </w:rPr>
            </w:r>
          </w:p>
        </w:tc>
      </w:tr>
    </w:tbl>
    <w:p>
      <w:pPr>
        <w:pStyle w:val="Normal"/>
        <w:widowControl w:val="false"/>
        <w:numPr>
          <w:ilvl w:val="0"/>
          <w:numId w:val="0"/>
        </w:numPr>
        <w:ind w:firstLine="426" w:left="0"/>
        <w:jc w:val="both"/>
        <w:outlineLvl w:val="2"/>
        <w:rPr/>
      </w:pPr>
      <w:r>
        <w:rPr/>
      </w:r>
    </w:p>
    <w:p>
      <w:pPr>
        <w:pStyle w:val="Normal"/>
        <w:widowControl w:val="false"/>
        <w:jc w:val="center"/>
        <w:rPr>
          <w:iCs/>
        </w:rPr>
      </w:pPr>
      <w:r>
        <w:rPr>
          <w:iCs/>
        </w:rPr>
        <w:t>Р</w:t>
      </w:r>
      <w:r>
        <w:rPr>
          <w:b/>
          <w:iCs/>
        </w:rPr>
        <w:t>аздел 7. Сравнительная таблица целевых показателей на текущий период</w:t>
      </w:r>
    </w:p>
    <w:p>
      <w:pPr>
        <w:pStyle w:val="Normal"/>
        <w:widowControl w:val="false"/>
        <w:ind w:firstLine="567"/>
        <w:jc w:val="both"/>
        <w:rPr>
          <w:iCs/>
        </w:rPr>
      </w:pPr>
      <w:r>
        <w:rPr>
          <w:iCs/>
        </w:rPr>
        <w:t xml:space="preserve">Эффективность реализации Программы оценивается ежегодно на основе целевых показателей и индикаторов, исходя из соответствия текущих значений показателей (индикаторов) с их целевыми значениями. </w:t>
      </w:r>
    </w:p>
    <w:p>
      <w:pPr>
        <w:pStyle w:val="Normal"/>
        <w:widowControl w:val="false"/>
        <w:ind w:firstLine="153" w:left="567"/>
        <w:jc w:val="both"/>
        <w:rPr>
          <w:iCs/>
        </w:rPr>
      </w:pPr>
      <w:r>
        <w:rPr>
          <w:iCs/>
        </w:rPr>
      </w:r>
    </w:p>
    <w:tbl>
      <w:tblPr>
        <w:tblW w:w="992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711"/>
        <w:gridCol w:w="3819"/>
        <w:gridCol w:w="993"/>
        <w:gridCol w:w="2549"/>
        <w:gridCol w:w="1844"/>
        <w:gridCol w:w="4"/>
      </w:tblGrid>
      <w:tr>
        <w:trPr>
          <w:trHeight w:val="230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p>
            <w:pPr>
              <w:pStyle w:val="Normal"/>
              <w:widowControl w:val="false"/>
              <w:jc w:val="center"/>
              <w:rPr>
                <w:rFonts w:eastAsia="Arial"/>
                <w:lang w:eastAsia="en-US"/>
              </w:rPr>
            </w:pPr>
            <w:r>
              <w:rPr>
                <w:rFonts w:eastAsia="Arial"/>
                <w:lang w:eastAsia="en-US"/>
              </w:rPr>
              <w:t>Наименование</w:t>
            </w:r>
          </w:p>
          <w:p>
            <w:pPr>
              <w:pStyle w:val="Normal"/>
              <w:widowControl w:val="false"/>
              <w:jc w:val="center"/>
              <w:rPr>
                <w:rFonts w:eastAsia="Arial"/>
                <w:lang w:eastAsia="en-US"/>
              </w:rPr>
            </w:pPr>
            <w:r>
              <w:rPr>
                <w:rFonts w:eastAsia="Arial"/>
                <w:lang w:eastAsia="en-US"/>
              </w:rPr>
              <w:t>показателя</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r>
          </w:p>
          <w:p>
            <w:pPr>
              <w:pStyle w:val="Normal"/>
              <w:widowControl w:val="false"/>
              <w:jc w:val="center"/>
              <w:rPr>
                <w:rFonts w:eastAsia="Arial"/>
                <w:lang w:eastAsia="en-US"/>
              </w:rPr>
            </w:pPr>
            <w:r>
              <w:rPr>
                <w:rFonts w:eastAsia="Arial"/>
                <w:lang w:eastAsia="en-US"/>
              </w:rPr>
              <w:t>Ед. изм.</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Плановое значение целевого показателя (индикатора)</w:t>
            </w:r>
          </w:p>
          <w:p>
            <w:pPr>
              <w:pStyle w:val="Normal"/>
              <w:widowControl w:val="false"/>
              <w:jc w:val="center"/>
              <w:rPr>
                <w:rFonts w:eastAsia="Arial"/>
                <w:lang w:eastAsia="en-US"/>
              </w:rPr>
            </w:pPr>
            <w:r>
              <w:rPr>
                <w:rFonts w:eastAsia="Arial"/>
                <w:lang w:eastAsia="en-US"/>
              </w:rPr>
              <w:t>(раздел 4)</w:t>
            </w:r>
          </w:p>
          <w:p>
            <w:pPr>
              <w:pStyle w:val="Normal"/>
              <w:widowControl w:val="false"/>
              <w:jc w:val="center"/>
              <w:rPr>
                <w:rFonts w:eastAsia="Arial"/>
                <w:lang w:eastAsia="en-US"/>
              </w:rPr>
            </w:pPr>
            <w:r>
              <w:rPr>
                <w:rFonts w:eastAsia="Arial"/>
                <w:lang w:eastAsia="en-US"/>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1" w:leader="none"/>
                <w:tab w:val="left" w:pos="2127" w:leader="none"/>
                <w:tab w:val="left" w:pos="2551" w:leader="none"/>
                <w:tab w:val="left" w:pos="3828" w:leader="none"/>
                <w:tab w:val="left" w:pos="4395" w:leader="none"/>
              </w:tabs>
              <w:jc w:val="center"/>
              <w:rPr>
                <w:rFonts w:eastAsia="Arial"/>
                <w:lang w:eastAsia="en-US"/>
              </w:rPr>
            </w:pPr>
            <w:r>
              <w:rPr>
                <w:rFonts w:eastAsia="Arial"/>
                <w:lang w:eastAsia="en-US"/>
              </w:rPr>
              <w:t>Планируемые показатели к достижению в пределах доведенных бюджетных ассигнований на текущий финансовый год</w:t>
            </w:r>
          </w:p>
        </w:tc>
        <w:tc>
          <w:tcPr>
            <w:tcW w:w="4" w:type="dxa"/>
            <w:tcBorders/>
          </w:tcPr>
          <w:p>
            <w:pPr>
              <w:pStyle w:val="Normal"/>
              <w:rPr/>
            </w:pPr>
            <w:r>
              <w:rPr/>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98" w:leader="none"/>
                <w:tab w:val="left" w:pos="934" w:leader="none"/>
              </w:tabs>
              <w:spacing w:lineRule="auto" w:line="276" w:before="0" w:after="200"/>
              <w:contextualSpacing/>
              <w:rPr>
                <w:rFonts w:eastAsia="Calibri"/>
                <w:lang w:eastAsia="en-US"/>
              </w:rPr>
            </w:pPr>
            <w:r>
              <w:rPr>
                <w:rFonts w:eastAsia="Calibri"/>
                <w:lang w:eastAsia="en-US"/>
              </w:rPr>
              <w:t>1</w:t>
            </w:r>
          </w:p>
        </w:tc>
        <w:tc>
          <w:tcPr>
            <w:tcW w:w="3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3</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contextualSpacing/>
              <w:rPr>
                <w:rFonts w:eastAsia="Calibri"/>
                <w:lang w:eastAsia="en-US"/>
              </w:rPr>
            </w:pPr>
            <w:r>
              <w:rPr>
                <w:rFonts w:eastAsia="Calibri"/>
                <w:lang w:eastAsia="en-US"/>
              </w:rPr>
              <w:t>4</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eastAsia="Calibri"/>
                <w:lang w:eastAsia="en-US"/>
              </w:rPr>
            </w:pPr>
            <w:r>
              <w:rPr>
                <w:rFonts w:eastAsia="Calibri"/>
                <w:lang w:eastAsia="en-US"/>
              </w:rPr>
              <w:t>5.</w:t>
            </w:r>
          </w:p>
        </w:tc>
        <w:tc>
          <w:tcPr>
            <w:tcW w:w="4" w:type="dxa"/>
            <w:tcBorders/>
          </w:tcPr>
          <w:p>
            <w:pPr>
              <w:pStyle w:val="Normal"/>
              <w:rPr/>
            </w:pPr>
            <w:r>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eastAsia="Arial"/>
                <w:lang w:eastAsia="en-US"/>
              </w:rPr>
            </w:pPr>
            <w:r>
              <w:rPr>
                <w:rFonts w:eastAsia="Arial"/>
                <w:lang w:eastAsia="en-US"/>
              </w:rPr>
              <w:t>Цель:</w:t>
            </w:r>
            <w:r>
              <w:rPr>
                <w:rFonts w:eastAsia="Calibri"/>
                <w:lang w:eastAsia="en-US"/>
              </w:rPr>
              <w:t xml:space="preserve"> </w:t>
            </w:r>
            <w:r>
              <w:rPr>
                <w:rFonts w:eastAsia="Calibri"/>
                <w:iCs/>
                <w:lang w:eastAsia="en-US"/>
              </w:rPr>
              <w:t>Создание в Северо-Байкальском районе условий эффективной защиты, установленных законодательством РФ прав потребителей</w:t>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iCs/>
                <w:lang w:eastAsia="en-US"/>
              </w:rPr>
            </w:pPr>
            <w:r>
              <w:rPr>
                <w:rFonts w:eastAsia="Arial"/>
                <w:lang w:eastAsia="en-US"/>
              </w:rPr>
              <w:t>Задача:</w:t>
            </w:r>
            <w:r>
              <w:rPr>
                <w:rFonts w:eastAsia="Calibri"/>
                <w:lang w:eastAsia="en-US"/>
              </w:rPr>
              <w:t xml:space="preserve"> </w:t>
            </w:r>
            <w:r>
              <w:rPr>
                <w:rFonts w:eastAsia="Calibri"/>
                <w:iCs/>
                <w:lang w:eastAsia="en-US"/>
              </w:rPr>
              <w:t>Содействие повышению правовой грамотности и информированности населения района в вопросах защиты прав потребителей</w:t>
            </w:r>
          </w:p>
          <w:p>
            <w:pPr>
              <w:pStyle w:val="Normal"/>
              <w:widowControl w:val="false"/>
              <w:jc w:val="both"/>
              <w:rPr>
                <w:rFonts w:eastAsia="Arial"/>
                <w:lang w:eastAsia="en-US"/>
              </w:rPr>
            </w:pPr>
            <w:r>
              <w:rPr>
                <w:rFonts w:eastAsia="Arial"/>
                <w:lang w:eastAsia="en-US"/>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lang w:eastAsia="en-US"/>
              </w:rPr>
            </w:pPr>
            <w:r>
              <w:rPr>
                <w:rFonts w:eastAsia="Arial"/>
                <w:lang w:eastAsia="en-US"/>
              </w:rPr>
              <w:t>Целевые показатели</w:t>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1</w:t>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iCs/>
                <w:lang w:eastAsia="en-US"/>
              </w:rPr>
            </w:pPr>
            <w:r>
              <w:rPr>
                <w:rFonts w:eastAsia="Arial"/>
                <w:iCs/>
                <w:lang w:eastAsia="en-US"/>
              </w:rPr>
              <w:t>количество публикаций и сообщений в средствах массовой информации, направленных на повышение потребительской грамотности</w:t>
            </w:r>
          </w:p>
          <w:p>
            <w:pPr>
              <w:pStyle w:val="Normal"/>
              <w:widowControl w:val="false"/>
              <w:jc w:val="center"/>
              <w:rPr>
                <w:rFonts w:eastAsia="Arial"/>
                <w:lang w:eastAsia="en-US"/>
              </w:rPr>
            </w:pPr>
            <w:r>
              <w:rPr>
                <w:rFonts w:eastAsia="Arial"/>
                <w:lang w:eastAsia="en-U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Ед.</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4" w:type="dxa"/>
            <w:tcBorders/>
          </w:tcPr>
          <w:p>
            <w:pPr>
              <w:pStyle w:val="Normal"/>
              <w:rPr/>
            </w:pPr>
            <w:r>
              <w:rPr/>
            </w:r>
          </w:p>
        </w:tc>
      </w:tr>
      <w:tr>
        <w:trPr>
          <w:trHeight w:val="213" w:hRule="atLeast"/>
        </w:trPr>
        <w:tc>
          <w:tcPr>
            <w:tcW w:w="992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iCs/>
                <w:lang w:eastAsia="en-US"/>
              </w:rPr>
              <w:t>Задача 2.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tc>
      </w:tr>
      <w:tr>
        <w:trPr>
          <w:trHeight w:val="213" w:hRule="atLeast"/>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Arial"/>
                <w:lang w:eastAsia="en-US"/>
              </w:rPr>
            </w:pPr>
            <w:r>
              <w:rPr>
                <w:rFonts w:eastAsia="Arial"/>
                <w:lang w:eastAsia="en-US"/>
              </w:rPr>
              <w:t>2</w:t>
            </w:r>
          </w:p>
        </w:tc>
        <w:tc>
          <w:tcPr>
            <w:tcW w:w="38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Arial"/>
                <w:iCs/>
                <w:lang w:eastAsia="en-US"/>
              </w:rPr>
            </w:pPr>
            <w:r>
              <w:rPr>
                <w:rFonts w:eastAsia="Arial"/>
                <w:iCs/>
                <w:lang w:eastAsia="en-US"/>
              </w:rPr>
              <w:t>количество консультаций в сфере защиты прав потребителей, в т.ч. в онлайн -режиме</w:t>
            </w:r>
          </w:p>
          <w:p>
            <w:pPr>
              <w:pStyle w:val="Normal"/>
              <w:widowControl w:val="false"/>
              <w:jc w:val="both"/>
              <w:rPr>
                <w:rFonts w:eastAsia="Arial"/>
                <w:iCs/>
                <w:lang w:eastAsia="en-US"/>
              </w:rPr>
            </w:pPr>
            <w:r>
              <w:rPr>
                <w:rFonts w:eastAsia="Arial"/>
                <w:iCs/>
                <w:lang w:eastAsia="en-U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Ед.</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Arial"/>
                <w:lang w:eastAsia="en-US"/>
              </w:rPr>
            </w:pPr>
            <w:r>
              <w:rPr>
                <w:rFonts w:eastAsia="Arial"/>
                <w:lang w:eastAsia="en-US"/>
              </w:rPr>
              <w:t>2</w:t>
            </w:r>
          </w:p>
        </w:tc>
        <w:tc>
          <w:tcPr>
            <w:tcW w:w="4" w:type="dxa"/>
            <w:tcBorders/>
          </w:tcPr>
          <w:p>
            <w:pPr>
              <w:pStyle w:val="Normal"/>
              <w:rPr/>
            </w:pPr>
            <w:r>
              <w:rPr/>
            </w:r>
          </w:p>
        </w:tc>
      </w:tr>
    </w:tbl>
    <w:p>
      <w:pPr>
        <w:pStyle w:val="Normal"/>
        <w:widowControl w:val="false"/>
        <w:ind w:firstLine="153" w:left="567"/>
        <w:jc w:val="both"/>
        <w:rPr>
          <w:iCs/>
        </w:rPr>
      </w:pPr>
      <w:r>
        <w:rPr>
          <w:iCs/>
        </w:rPr>
      </w:r>
    </w:p>
    <w:p>
      <w:pPr>
        <w:pStyle w:val="Normal"/>
        <w:widowControl w:val="false"/>
        <w:jc w:val="center"/>
        <w:rPr>
          <w:iCs/>
        </w:rPr>
      </w:pPr>
      <w:r>
        <w:rPr>
          <w:b/>
          <w:iCs/>
        </w:rPr>
        <w:t>Раздел 8. Описание мер муниципального и правового регулирования и анализ рисков реализации муниципальной программы</w:t>
      </w:r>
    </w:p>
    <w:p>
      <w:pPr>
        <w:pStyle w:val="Normal"/>
        <w:widowControl w:val="false"/>
        <w:ind w:firstLine="567"/>
        <w:jc w:val="both"/>
        <w:rPr>
          <w:iCs/>
        </w:rPr>
      </w:pPr>
      <w:r>
        <w:rPr>
          <w:iCs/>
        </w:rPr>
        <w:t>В рамках реализации программы могут быть выделены следующие риски ее реализации.</w:t>
      </w:r>
    </w:p>
    <w:p>
      <w:pPr>
        <w:pStyle w:val="Normal"/>
        <w:widowControl w:val="false"/>
        <w:ind w:firstLine="567"/>
        <w:jc w:val="both"/>
        <w:rPr>
          <w:b/>
          <w:iCs/>
        </w:rPr>
      </w:pPr>
      <w:r>
        <w:rPr>
          <w:b/>
          <w:iCs/>
        </w:rPr>
        <w:t>Правовые риски.</w:t>
      </w:r>
    </w:p>
    <w:p>
      <w:pPr>
        <w:pStyle w:val="Normal"/>
        <w:widowControl w:val="false"/>
        <w:ind w:firstLine="567"/>
        <w:jc w:val="both"/>
        <w:rPr>
          <w:iCs/>
        </w:rPr>
      </w:pPr>
      <w:r>
        <w:rPr>
          <w:iCs/>
        </w:rPr>
        <w:t>Правовые риски связаны с изменением законодательства Российской Федерации и Республики Бурятия, длительностью формирования нормативной 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pPr>
        <w:pStyle w:val="Normal"/>
        <w:widowControl w:val="false"/>
        <w:ind w:firstLine="567"/>
        <w:jc w:val="both"/>
        <w:rPr>
          <w:iCs/>
        </w:rPr>
      </w:pPr>
      <w:r>
        <w:rPr>
          <w:iCs/>
        </w:rPr>
        <w:t>Для минимизации воздействия данной группы рисков планируется проводить мониторинг планируемых изменений в федеральном законодательстве в сфере защиты прав потребителей.</w:t>
      </w:r>
    </w:p>
    <w:p>
      <w:pPr>
        <w:pStyle w:val="Normal"/>
        <w:widowControl w:val="false"/>
        <w:ind w:firstLine="567"/>
        <w:jc w:val="both"/>
        <w:rPr>
          <w:b/>
          <w:iCs/>
        </w:rPr>
      </w:pPr>
      <w:r>
        <w:rPr>
          <w:b/>
          <w:iCs/>
        </w:rPr>
        <w:t>Административные риски.</w:t>
      </w:r>
    </w:p>
    <w:p>
      <w:pPr>
        <w:pStyle w:val="Normal"/>
        <w:widowControl w:val="false"/>
        <w:ind w:firstLine="567"/>
        <w:jc w:val="both"/>
        <w:rPr>
          <w:iCs/>
        </w:rPr>
      </w:pPr>
      <w:r>
        <w:rPr>
          <w:iCs/>
        </w:rPr>
        <w:t>Риски данной группы связаны с неэффективным управлением программой, низким уровнем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целевых показателей, снижение эффективности использования ресурсов и качества выполнения мероприятий программы.</w:t>
      </w:r>
    </w:p>
    <w:p>
      <w:pPr>
        <w:pStyle w:val="Normal"/>
        <w:widowControl w:val="false"/>
        <w:ind w:firstLine="567"/>
        <w:jc w:val="both"/>
        <w:rPr>
          <w:iCs/>
        </w:rPr>
      </w:pPr>
      <w:r>
        <w:rPr>
          <w:iCs/>
        </w:rPr>
        <w:t>Основными условиями минимизации административных рисков являются:</w:t>
      </w:r>
    </w:p>
    <w:p>
      <w:pPr>
        <w:pStyle w:val="Normal"/>
        <w:widowControl w:val="false"/>
        <w:ind w:firstLine="567"/>
        <w:jc w:val="both"/>
        <w:rPr>
          <w:iCs/>
        </w:rPr>
      </w:pPr>
      <w:r>
        <w:rPr>
          <w:iCs/>
        </w:rPr>
        <w:t>- формирование эффективной системы управления реализацией мероприятий программы;</w:t>
      </w:r>
    </w:p>
    <w:p>
      <w:pPr>
        <w:pStyle w:val="Normal"/>
        <w:widowControl w:val="false"/>
        <w:ind w:firstLine="567"/>
        <w:jc w:val="both"/>
        <w:rPr>
          <w:iCs/>
        </w:rPr>
      </w:pPr>
      <w:r>
        <w:rPr>
          <w:iCs/>
        </w:rPr>
        <w:t>- проведение систематического аудита результативности реализации программы;</w:t>
      </w:r>
    </w:p>
    <w:p>
      <w:pPr>
        <w:pStyle w:val="Normal"/>
        <w:widowControl w:val="false"/>
        <w:ind w:firstLine="567"/>
        <w:jc w:val="both"/>
        <w:rPr>
          <w:iCs/>
        </w:rPr>
      </w:pPr>
      <w:r>
        <w:rPr>
          <w:iCs/>
        </w:rPr>
        <w:t>- регулярная публикация отчетов о ходе реализации программы;</w:t>
      </w:r>
    </w:p>
    <w:p>
      <w:pPr>
        <w:pStyle w:val="Normal"/>
        <w:widowControl w:val="false"/>
        <w:ind w:firstLine="567"/>
        <w:jc w:val="both"/>
        <w:rPr>
          <w:iCs/>
        </w:rPr>
      </w:pPr>
      <w:r>
        <w:rPr>
          <w:iCs/>
        </w:rPr>
        <w:t>- повышение эффективности взаимодействия участников реализации программы;</w:t>
      </w:r>
    </w:p>
    <w:p>
      <w:pPr>
        <w:pStyle w:val="Normal"/>
        <w:widowControl w:val="false"/>
        <w:ind w:firstLine="567"/>
        <w:jc w:val="both"/>
        <w:rPr>
          <w:iCs/>
        </w:rPr>
      </w:pPr>
      <w:r>
        <w:rPr>
          <w:iCs/>
        </w:rPr>
        <w:t>- своевременная корректировка мероприятий программы.</w:t>
      </w:r>
    </w:p>
    <w:p>
      <w:pPr>
        <w:pStyle w:val="Normal"/>
        <w:widowControl w:val="false"/>
        <w:ind w:firstLine="567"/>
        <w:jc w:val="both"/>
        <w:rPr>
          <w:iCs/>
        </w:rPr>
      </w:pPr>
      <w:r>
        <w:rPr>
          <w:bCs/>
          <w:iCs/>
        </w:rPr>
        <w:t xml:space="preserve">                                                                                                                              </w:t>
      </w:r>
    </w:p>
    <w:p>
      <w:pPr>
        <w:pStyle w:val="Normal"/>
        <w:widowControl w:val="false"/>
        <w:ind w:firstLine="153" w:left="567"/>
        <w:jc w:val="both"/>
        <w:rPr>
          <w:b/>
          <w:iCs/>
        </w:rPr>
      </w:pPr>
      <w:r>
        <w:rPr>
          <w:b/>
          <w:iCs/>
        </w:rPr>
        <w:t xml:space="preserve">                                     </w:t>
      </w:r>
      <w:r>
        <w:rPr>
          <w:b/>
          <w:iCs/>
        </w:rPr>
        <w:t>Основные меры правового регулирования</w:t>
      </w:r>
    </w:p>
    <w:tbl>
      <w:tblPr>
        <w:tblW w:w="1009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57"/>
        <w:gridCol w:w="1702"/>
        <w:gridCol w:w="1983"/>
        <w:gridCol w:w="1451"/>
      </w:tblGrid>
      <w:tr>
        <w:trPr/>
        <w:tc>
          <w:tcPr>
            <w:tcW w:w="4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Вид нормативно-правового акта</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Основные положения нормативно-правового акта</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Ответственный исполнитель</w:t>
            </w:r>
          </w:p>
        </w:tc>
        <w:tc>
          <w:tcPr>
            <w:tcW w:w="1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iCs/>
                <w:sz w:val="22"/>
                <w:szCs w:val="22"/>
              </w:rPr>
            </w:pPr>
            <w:r>
              <w:rPr>
                <w:iCs/>
                <w:sz w:val="22"/>
                <w:szCs w:val="22"/>
              </w:rPr>
              <w:t>Ожидаемые сроки принятия</w:t>
            </w:r>
          </w:p>
        </w:tc>
      </w:tr>
      <w:tr>
        <w:trPr/>
        <w:tc>
          <w:tcPr>
            <w:tcW w:w="49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«Защита прав потребителей на территории «Северо-Байкальский район» </w:t>
            </w:r>
            <w:r>
              <w:rPr>
                <w:bCs/>
                <w:iCs/>
                <w:sz w:val="22"/>
                <w:szCs w:val="22"/>
              </w:rPr>
              <w:t xml:space="preserve"> на 2024-2026 годы</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Перечень мероприятий программы на очередной год</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Отдел экономики администрации МО «Северо-Байкальский район»</w:t>
            </w:r>
          </w:p>
        </w:tc>
        <w:tc>
          <w:tcPr>
            <w:tcW w:w="1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Ежегодно до 30 декабря</w:t>
            </w:r>
          </w:p>
        </w:tc>
      </w:tr>
    </w:tbl>
    <w:p>
      <w:pPr>
        <w:pStyle w:val="Normal"/>
        <w:widowControl w:val="false"/>
        <w:ind w:firstLine="153" w:left="567"/>
        <w:jc w:val="both"/>
        <w:rPr>
          <w:iCs/>
        </w:rPr>
      </w:pPr>
      <w:r>
        <w:rPr>
          <w:iCs/>
        </w:rPr>
      </w:r>
    </w:p>
    <w:sectPr>
      <w:footerReference w:type="default" r:id="rId4"/>
      <w:type w:val="nextPage"/>
      <w:pgSz w:w="11906" w:h="16838"/>
      <w:pgMar w:left="1134" w:right="567" w:gutter="0" w:header="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3488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
    <w:qFormat/>
    <w:locked/>
    <w:rsid w:val="00a43215"/>
    <w:pPr>
      <w:keepNext w:val="true"/>
      <w:jc w:val="center"/>
      <w:outlineLvl w:val="0"/>
    </w:pPr>
    <w:rPr>
      <w:b/>
      <w:sz w:val="28"/>
      <w:szCs w:val="20"/>
    </w:rPr>
  </w:style>
  <w:style w:type="paragraph" w:styleId="Heading3">
    <w:name w:val="Heading 3"/>
    <w:basedOn w:val="Normal"/>
    <w:next w:val="Normal"/>
    <w:link w:val="3"/>
    <w:uiPriority w:val="99"/>
    <w:qFormat/>
    <w:rsid w:val="002e2df4"/>
    <w:pPr>
      <w:keepNext w:val="true"/>
      <w:keepLines/>
      <w:spacing w:before="200" w:after="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3" w:customStyle="1">
    <w:name w:val="Заголовок 3 Знак"/>
    <w:uiPriority w:val="99"/>
    <w:semiHidden/>
    <w:qFormat/>
    <w:locked/>
    <w:rsid w:val="002e2df4"/>
    <w:rPr>
      <w:rFonts w:ascii="Cambria" w:hAnsi="Cambria" w:cs="Times New Roman"/>
      <w:b/>
      <w:bCs/>
      <w:color w:val="4F81BD"/>
      <w:sz w:val="24"/>
      <w:szCs w:val="24"/>
      <w:lang w:eastAsia="ru-RU"/>
    </w:rPr>
  </w:style>
  <w:style w:type="character" w:styleId="Style12" w:customStyle="1">
    <w:name w:val="Заголовок Знак"/>
    <w:qFormat/>
    <w:rsid w:val="00961559"/>
    <w:rPr>
      <w:rFonts w:ascii="Times New Roman" w:hAnsi="Times New Roman" w:eastAsia="Times New Roman"/>
      <w:sz w:val="32"/>
      <w:szCs w:val="20"/>
    </w:rPr>
  </w:style>
  <w:style w:type="character" w:styleId="Apple-converted-space" w:customStyle="1">
    <w:name w:val="apple-converted-space"/>
    <w:qFormat/>
    <w:rsid w:val="00d62708"/>
    <w:rPr/>
  </w:style>
  <w:style w:type="character" w:styleId="Style13" w:customStyle="1">
    <w:name w:val="Текст выноски Знак"/>
    <w:link w:val="BalloonText"/>
    <w:uiPriority w:val="99"/>
    <w:semiHidden/>
    <w:qFormat/>
    <w:rsid w:val="00d749de"/>
    <w:rPr>
      <w:rFonts w:ascii="Segoe UI" w:hAnsi="Segoe UI" w:eastAsia="Times New Roman" w:cs="Segoe UI"/>
      <w:sz w:val="18"/>
      <w:szCs w:val="18"/>
    </w:rPr>
  </w:style>
  <w:style w:type="character" w:styleId="1" w:customStyle="1">
    <w:name w:val="Заголовок 1 Знак"/>
    <w:qFormat/>
    <w:rsid w:val="00a43215"/>
    <w:rPr>
      <w:rFonts w:ascii="Times New Roman" w:hAnsi="Times New Roman" w:eastAsia="Times New Roman"/>
      <w:b/>
      <w:sz w:val="28"/>
    </w:rPr>
  </w:style>
  <w:style w:type="character" w:styleId="Style14" w:customStyle="1">
    <w:name w:val="Название Знак"/>
    <w:link w:val="11"/>
    <w:qFormat/>
    <w:rsid w:val="00a43215"/>
    <w:rPr>
      <w:rFonts w:ascii="Times New Roman" w:hAnsi="Times New Roman" w:eastAsia="Times New Roman" w:cs="Times New Roman"/>
      <w:b/>
      <w:sz w:val="28"/>
      <w:szCs w:val="20"/>
      <w:u w:val="single"/>
      <w:lang w:eastAsia="ru-RU"/>
    </w:rPr>
  </w:style>
  <w:style w:type="character" w:styleId="Style15" w:customStyle="1">
    <w:name w:val="Основной текст с отступом Знак"/>
    <w:qFormat/>
    <w:rsid w:val="00a43215"/>
    <w:rPr>
      <w:rFonts w:ascii="Times New Roman" w:hAnsi="Times New Roman" w:eastAsia="Times New Roman"/>
      <w:sz w:val="24"/>
      <w:szCs w:val="24"/>
      <w:lang w:val="x-none" w:eastAsia="ar-SA"/>
    </w:rPr>
  </w:style>
  <w:style w:type="character" w:styleId="Style16" w:customStyle="1">
    <w:name w:val="Основной текст Знак"/>
    <w:uiPriority w:val="99"/>
    <w:semiHidden/>
    <w:qFormat/>
    <w:rsid w:val="00a43215"/>
    <w:rPr>
      <w:rFonts w:ascii="Times New Roman" w:hAnsi="Times New Roman" w:eastAsia="Times New Roman"/>
      <w:sz w:val="28"/>
    </w:rPr>
  </w:style>
  <w:style w:type="character" w:styleId="Style17" w:customStyle="1">
    <w:name w:val="Нижний колонтитул Знак"/>
    <w:qFormat/>
    <w:rsid w:val="00a43215"/>
    <w:rPr>
      <w:rFonts w:ascii="Times New Roman" w:hAnsi="Times New Roman" w:eastAsia="Times New Roman"/>
      <w:sz w:val="24"/>
      <w:szCs w:val="24"/>
      <w:lang w:eastAsia="ar-SA"/>
    </w:rPr>
  </w:style>
  <w:style w:type="character" w:styleId="31" w:customStyle="1">
    <w:name w:val="Основной текст 3 Знак"/>
    <w:link w:val="BodyText3"/>
    <w:uiPriority w:val="99"/>
    <w:qFormat/>
    <w:rsid w:val="00a43215"/>
    <w:rPr>
      <w:rFonts w:ascii="Times New Roman" w:hAnsi="Times New Roman" w:eastAsia="Times New Roman"/>
      <w:sz w:val="16"/>
      <w:szCs w:val="16"/>
      <w:lang w:val="x-none" w:eastAsia="x-none"/>
    </w:rPr>
  </w:style>
  <w:style w:type="character" w:styleId="Hl" w:customStyle="1">
    <w:name w:val="hl"/>
    <w:qFormat/>
    <w:rsid w:val="00a43215"/>
    <w:rPr/>
  </w:style>
  <w:style w:type="character" w:styleId="Pagenumber">
    <w:name w:val="page number"/>
    <w:qFormat/>
    <w:rsid w:val="00a43215"/>
    <w:rPr/>
  </w:style>
  <w:style w:type="character" w:styleId="FontStyle87" w:customStyle="1">
    <w:name w:val="Font Style87"/>
    <w:qFormat/>
    <w:rsid w:val="00a43215"/>
    <w:rPr>
      <w:rFonts w:ascii="Times New Roman" w:hAnsi="Times New Roman" w:cs="Times New Roman"/>
      <w:sz w:val="26"/>
      <w:szCs w:val="26"/>
    </w:rPr>
  </w:style>
  <w:style w:type="character" w:styleId="Style18" w:customStyle="1">
    <w:name w:val="Верхний колонтитул Знак"/>
    <w:uiPriority w:val="99"/>
    <w:qFormat/>
    <w:rsid w:val="002c37a9"/>
    <w:rPr>
      <w:rFonts w:ascii="Times New Roman" w:hAnsi="Times New Roman" w:eastAsia="Times New Roman"/>
      <w:sz w:val="24"/>
      <w:szCs w:val="24"/>
    </w:rPr>
  </w:style>
  <w:style w:type="character" w:styleId="Hyperlink">
    <w:name w:val="Hyperlink"/>
    <w:basedOn w:val="DefaultParagraphFont"/>
    <w:uiPriority w:val="99"/>
    <w:unhideWhenUsed/>
    <w:rsid w:val="001436d5"/>
    <w:rPr>
      <w:color w:themeColor="hyperlink" w:val="0000FF"/>
      <w:u w:val="single"/>
    </w:rPr>
  </w:style>
  <w:style w:type="character" w:styleId="12" w:customStyle="1">
    <w:name w:val="Основной текст (12)"/>
    <w:qFormat/>
    <w:rsid w:val="00976f88"/>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ConsPlusNormal" w:customStyle="1">
    <w:name w:val="ConsPlusNormal Знак"/>
    <w:link w:val="ConsPlusNormal1"/>
    <w:qFormat/>
    <w:locked/>
    <w:rsid w:val="00da0f3c"/>
    <w:rPr>
      <w:rFonts w:ascii="Times New Roman" w:hAnsi="Times New Roman"/>
      <w:sz w:val="22"/>
      <w:szCs w:val="22"/>
      <w:lang w:eastAsia="en-US"/>
    </w:rPr>
  </w:style>
  <w:style w:type="character" w:styleId="FollowedHyperlink">
    <w:name w:val="FollowedHyperlink"/>
    <w:basedOn w:val="DefaultParagraphFont"/>
    <w:uiPriority w:val="99"/>
    <w:semiHidden/>
    <w:unhideWhenUsed/>
    <w:rsid w:val="00c02f8c"/>
    <w:rPr>
      <w:color w:themeColor="followedHyperlink" w:val="800080"/>
      <w:u w:val="single"/>
    </w:rPr>
  </w:style>
  <w:style w:type="paragraph" w:styleId="Style19">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6"/>
    <w:uiPriority w:val="99"/>
    <w:semiHidden/>
    <w:unhideWhenUsed/>
    <w:rsid w:val="00a43215"/>
    <w:pPr>
      <w:spacing w:before="0" w:after="120"/>
    </w:pPr>
    <w:rPr>
      <w:sz w:val="28"/>
      <w:szCs w:val="20"/>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
    <w:qFormat/>
    <w:rsid w:val="002e2df4"/>
    <w:pPr>
      <w:widowControl/>
      <w:suppressAutoHyphens w:val="true"/>
      <w:bidi w:val="0"/>
      <w:spacing w:before="0" w:after="0"/>
      <w:jc w:val="left"/>
    </w:pPr>
    <w:rPr>
      <w:rFonts w:ascii="Times New Roman" w:hAnsi="Times New Roman" w:eastAsia="Calibri" w:cs="Times New Roman"/>
      <w:color w:val="auto"/>
      <w:kern w:val="0"/>
      <w:sz w:val="22"/>
      <w:szCs w:val="22"/>
      <w:lang w:val="ru-RU" w:eastAsia="en-US" w:bidi="ar-SA"/>
    </w:rPr>
  </w:style>
  <w:style w:type="paragraph" w:styleId="NoSpacing">
    <w:name w:val="No Spacing"/>
    <w:qFormat/>
    <w:rsid w:val="002e2df4"/>
    <w:pPr>
      <w:widowControl/>
      <w:suppressAutoHyphens w:val="true"/>
      <w:bidi w:val="0"/>
      <w:spacing w:before="0" w:after="0"/>
      <w:jc w:val="left"/>
    </w:pPr>
    <w:rPr>
      <w:rFonts w:ascii="Times New Roman" w:hAnsi="Times New Roman" w:eastAsia="Calibri" w:cs="Times New Roman"/>
      <w:color w:val="auto"/>
      <w:kern w:val="0"/>
      <w:sz w:val="22"/>
      <w:szCs w:val="22"/>
      <w:lang w:val="ru-RU" w:eastAsia="en-US" w:bidi="ar-SA"/>
    </w:rPr>
  </w:style>
  <w:style w:type="paragraph" w:styleId="ConsPlusNonformat" w:customStyle="1">
    <w:name w:val="ConsPlusNonformat"/>
    <w:uiPriority w:val="99"/>
    <w:qFormat/>
    <w:rsid w:val="002e2df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qFormat/>
    <w:rsid w:val="00e530e2"/>
    <w:pPr>
      <w:spacing w:beforeAutospacing="1" w:afterAutospacing="1"/>
    </w:pPr>
    <w:rPr/>
  </w:style>
  <w:style w:type="paragraph" w:styleId="Title">
    <w:name w:val="Title"/>
    <w:basedOn w:val="Normal"/>
    <w:link w:val="Style12"/>
    <w:qFormat/>
    <w:locked/>
    <w:rsid w:val="00961559"/>
    <w:pPr>
      <w:jc w:val="center"/>
    </w:pPr>
    <w:rPr>
      <w:sz w:val="32"/>
      <w:szCs w:val="20"/>
    </w:rPr>
  </w:style>
  <w:style w:type="paragraph" w:styleId="Western" w:customStyle="1">
    <w:name w:val="western"/>
    <w:basedOn w:val="Normal"/>
    <w:qFormat/>
    <w:rsid w:val="00d30d8a"/>
    <w:pPr>
      <w:spacing w:beforeAutospacing="1" w:afterAutospacing="1"/>
    </w:pPr>
    <w:rPr/>
  </w:style>
  <w:style w:type="paragraph" w:styleId="BalloonText">
    <w:name w:val="Balloon Text"/>
    <w:basedOn w:val="Normal"/>
    <w:link w:val="Style13"/>
    <w:uiPriority w:val="99"/>
    <w:semiHidden/>
    <w:unhideWhenUsed/>
    <w:qFormat/>
    <w:rsid w:val="00d749de"/>
    <w:pPr/>
    <w:rPr>
      <w:rFonts w:ascii="Segoe UI" w:hAnsi="Segoe UI" w:cs="Segoe UI"/>
      <w:sz w:val="18"/>
      <w:szCs w:val="18"/>
    </w:rPr>
  </w:style>
  <w:style w:type="paragraph" w:styleId="11" w:customStyle="1">
    <w:name w:val="1"/>
    <w:basedOn w:val="Normal"/>
    <w:next w:val="Title"/>
    <w:link w:val="Style14"/>
    <w:qFormat/>
    <w:rsid w:val="00a43215"/>
    <w:pPr>
      <w:jc w:val="center"/>
    </w:pPr>
    <w:rPr>
      <w:b/>
      <w:sz w:val="28"/>
      <w:szCs w:val="20"/>
      <w:u w:val="single"/>
    </w:rPr>
  </w:style>
  <w:style w:type="paragraph" w:styleId="13" w:customStyle="1">
    <w:name w:val="Знак Знак1 Знак"/>
    <w:basedOn w:val="Normal"/>
    <w:qFormat/>
    <w:rsid w:val="00a43215"/>
    <w:pPr>
      <w:spacing w:lineRule="exact" w:line="240" w:before="0" w:after="160"/>
    </w:pPr>
    <w:rPr>
      <w:rFonts w:ascii="Verdana" w:hAnsi="Verdana" w:cs="Verdana"/>
      <w:sz w:val="20"/>
      <w:szCs w:val="20"/>
      <w:lang w:val="en-US" w:eastAsia="en-US"/>
    </w:rPr>
  </w:style>
  <w:style w:type="paragraph" w:styleId="ConsPlusTitle" w:customStyle="1">
    <w:name w:val="ConsPlusTitle"/>
    <w:qFormat/>
    <w:rsid w:val="00a43215"/>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ListParagraph">
    <w:name w:val="List Paragraph"/>
    <w:basedOn w:val="Normal"/>
    <w:uiPriority w:val="99"/>
    <w:qFormat/>
    <w:rsid w:val="00a43215"/>
    <w:pPr>
      <w:spacing w:lineRule="auto" w:line="276" w:before="0" w:after="200"/>
      <w:ind w:left="720"/>
    </w:pPr>
    <w:rPr>
      <w:rFonts w:ascii="Calibri" w:hAnsi="Calibri" w:eastAsia="Calibri" w:cs="Calibri"/>
      <w:sz w:val="22"/>
      <w:szCs w:val="22"/>
      <w:lang w:eastAsia="en-US"/>
    </w:rPr>
  </w:style>
  <w:style w:type="paragraph" w:styleId="BodyTextIndent">
    <w:name w:val="Body Text Indent"/>
    <w:basedOn w:val="Normal"/>
    <w:link w:val="Style15"/>
    <w:rsid w:val="00a43215"/>
    <w:pPr>
      <w:spacing w:before="0" w:after="120"/>
      <w:ind w:left="283"/>
    </w:pPr>
    <w:rPr>
      <w:lang w:val="x-none" w:eastAsia="ar-SA"/>
    </w:rPr>
  </w:style>
  <w:style w:type="paragraph" w:styleId="Postan" w:customStyle="1">
    <w:name w:val="Postan"/>
    <w:basedOn w:val="Normal"/>
    <w:qFormat/>
    <w:rsid w:val="00a43215"/>
    <w:pPr>
      <w:jc w:val="center"/>
    </w:pPr>
    <w:rPr>
      <w:sz w:val="28"/>
      <w:szCs w:val="28"/>
    </w:rPr>
  </w:style>
  <w:style w:type="paragraph" w:styleId="ConsPlusCell" w:customStyle="1">
    <w:name w:val="ConsPlusCell"/>
    <w:uiPriority w:val="99"/>
    <w:qFormat/>
    <w:rsid w:val="00a43215"/>
    <w:pPr>
      <w:widowControl w:val="false"/>
      <w:suppressAutoHyphens w:val="true"/>
      <w:bidi w:val="0"/>
      <w:spacing w:before="0" w:after="0"/>
      <w:jc w:val="left"/>
    </w:pPr>
    <w:rPr>
      <w:rFonts w:ascii="Arial" w:hAnsi="Arial" w:eastAsia="Arial" w:cs="Arial"/>
      <w:color w:val="auto"/>
      <w:kern w:val="0"/>
      <w:sz w:val="20"/>
      <w:szCs w:val="20"/>
      <w:lang w:val="ru-RU" w:eastAsia="ar-SA" w:bidi="ar-SA"/>
    </w:rPr>
  </w:style>
  <w:style w:type="paragraph" w:styleId="14" w:customStyle="1">
    <w:name w:val="Обычный1"/>
    <w:qFormat/>
    <w:rsid w:val="00a43215"/>
    <w:pPr>
      <w:widowControl w:val="false"/>
      <w:suppressAutoHyphens w:val="true"/>
      <w:bidi w:val="0"/>
      <w:spacing w:lineRule="auto" w:line="300" w:before="0" w:after="0"/>
      <w:ind w:firstLine="700"/>
      <w:jc w:val="both"/>
    </w:pPr>
    <w:rPr>
      <w:rFonts w:ascii="Times New Roman" w:hAnsi="Times New Roman" w:eastAsia="Arial" w:cs="Times New Roman"/>
      <w:color w:val="auto"/>
      <w:kern w:val="0"/>
      <w:sz w:val="22"/>
      <w:szCs w:val="20"/>
      <w:lang w:val="ru-RU" w:eastAsia="ar-SA" w:bidi="ar-SA"/>
    </w:rPr>
  </w:style>
  <w:style w:type="paragraph" w:styleId="ConsNormal" w:customStyle="1">
    <w:name w:val="ConsNormal"/>
    <w:qFormat/>
    <w:rsid w:val="00a43215"/>
    <w:pPr>
      <w:widowControl/>
      <w:suppressAutoHyphens w:val="true"/>
      <w:bidi w:val="0"/>
      <w:spacing w:before="0" w:after="0"/>
      <w:ind w:firstLine="720" w:right="19772"/>
      <w:jc w:val="left"/>
    </w:pPr>
    <w:rPr>
      <w:rFonts w:ascii="Arial" w:hAnsi="Arial" w:eastAsia="Arial" w:cs="Arial"/>
      <w:color w:val="auto"/>
      <w:kern w:val="0"/>
      <w:sz w:val="20"/>
      <w:szCs w:val="20"/>
      <w:lang w:val="ru-RU" w:eastAsia="ar-SA" w:bidi="ar-SA"/>
    </w:rPr>
  </w:style>
  <w:style w:type="paragraph" w:styleId="Style21">
    <w:name w:val="Колонтитул"/>
    <w:basedOn w:val="Normal"/>
    <w:qFormat/>
    <w:pPr/>
    <w:rPr/>
  </w:style>
  <w:style w:type="paragraph" w:styleId="Footer">
    <w:name w:val="Footer"/>
    <w:basedOn w:val="Normal"/>
    <w:link w:val="Style17"/>
    <w:rsid w:val="00a43215"/>
    <w:pPr>
      <w:tabs>
        <w:tab w:val="clear" w:pos="708"/>
        <w:tab w:val="center" w:pos="4677" w:leader="none"/>
        <w:tab w:val="right" w:pos="9355" w:leader="none"/>
      </w:tabs>
    </w:pPr>
    <w:rPr>
      <w:lang w:eastAsia="ar-SA"/>
    </w:rPr>
  </w:style>
  <w:style w:type="paragraph" w:styleId="32" w:customStyle="1">
    <w:name w:val="Основной текст с отступом 32"/>
    <w:basedOn w:val="Normal"/>
    <w:qFormat/>
    <w:rsid w:val="00a43215"/>
    <w:pPr>
      <w:spacing w:before="0" w:after="120"/>
      <w:ind w:left="283"/>
    </w:pPr>
    <w:rPr>
      <w:sz w:val="16"/>
      <w:szCs w:val="16"/>
      <w:lang w:eastAsia="ar-SA"/>
    </w:rPr>
  </w:style>
  <w:style w:type="paragraph" w:styleId="BodyText3">
    <w:name w:val="Body Text 3"/>
    <w:basedOn w:val="Normal"/>
    <w:link w:val="31"/>
    <w:uiPriority w:val="99"/>
    <w:unhideWhenUsed/>
    <w:qFormat/>
    <w:rsid w:val="00a43215"/>
    <w:pPr>
      <w:spacing w:before="0" w:after="120"/>
    </w:pPr>
    <w:rPr>
      <w:sz w:val="16"/>
      <w:szCs w:val="16"/>
      <w:lang w:val="x-none" w:eastAsia="x-none"/>
    </w:rPr>
  </w:style>
  <w:style w:type="paragraph" w:styleId="Style22" w:customStyle="1">
    <w:name w:val="Style2"/>
    <w:basedOn w:val="Normal"/>
    <w:qFormat/>
    <w:rsid w:val="00a43215"/>
    <w:pPr>
      <w:widowControl w:val="false"/>
      <w:spacing w:lineRule="exact" w:line="322"/>
      <w:ind w:firstLine="523"/>
      <w:jc w:val="both"/>
    </w:pPr>
    <w:rPr/>
  </w:style>
  <w:style w:type="paragraph" w:styleId="Style51" w:customStyle="1">
    <w:name w:val="Style5"/>
    <w:basedOn w:val="Normal"/>
    <w:qFormat/>
    <w:rsid w:val="00a43215"/>
    <w:pPr>
      <w:widowControl w:val="false"/>
      <w:spacing w:lineRule="exact" w:line="360"/>
      <w:ind w:firstLine="706"/>
      <w:jc w:val="both"/>
    </w:pPr>
    <w:rPr/>
  </w:style>
  <w:style w:type="paragraph" w:styleId="Style131" w:customStyle="1">
    <w:name w:val="Style13"/>
    <w:basedOn w:val="Normal"/>
    <w:qFormat/>
    <w:rsid w:val="00a43215"/>
    <w:pPr>
      <w:widowControl w:val="false"/>
      <w:spacing w:lineRule="exact" w:line="322"/>
    </w:pPr>
    <w:rPr/>
  </w:style>
  <w:style w:type="paragraph" w:styleId="Header">
    <w:name w:val="Header"/>
    <w:basedOn w:val="Normal"/>
    <w:link w:val="Style18"/>
    <w:uiPriority w:val="99"/>
    <w:unhideWhenUsed/>
    <w:rsid w:val="002c37a9"/>
    <w:pPr>
      <w:tabs>
        <w:tab w:val="clear" w:pos="708"/>
        <w:tab w:val="center" w:pos="4677" w:leader="none"/>
        <w:tab w:val="right" w:pos="9355" w:leader="none"/>
      </w:tabs>
    </w:pPr>
    <w:rPr/>
  </w:style>
  <w:style w:type="paragraph" w:styleId="Caption1">
    <w:name w:val="caption1"/>
    <w:basedOn w:val="Normal"/>
    <w:next w:val="Normal"/>
    <w:unhideWhenUsed/>
    <w:qFormat/>
    <w:locked/>
    <w:rsid w:val="00ca30ab"/>
    <w:pPr/>
    <w:rPr>
      <w:b/>
      <w:bCs/>
      <w:sz w:val="20"/>
      <w:szCs w:val="20"/>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864f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a0f3c"/>
    <w:rPr>
      <w:lang w:val="en-US" w:eastAsia="en-US"/>
      <w:sz w:val="22"/>
      <w:szCs w:val="22"/>
    </w:rPr>
    <w:tblPr>
      <w:tblCellMar>
        <w:top w:w="0" w:type="dxa"/>
        <w:left w:w="0" w:type="dxa"/>
        <w:bottom w:w="0" w:type="dxa"/>
        <w:right w:w="0" w:type="dxa"/>
      </w:tblCellMar>
    </w:tblPr>
  </w:style>
  <w:style w:type="table" w:customStyle="1" w:styleId="TableGrid">
    <w:name w:val="TableGrid"/>
    <w:rsid w:val="00a06ced"/>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6756-C550-4457-949B-585AE832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LibreOffice/7.6.4.1$Windows_X86_64 LibreOffice_project/e19e193f88cd6c0525a17fb7a176ed8e6a3e2aa1</Application>
  <AppVersion>15.0000</AppVersion>
  <Pages>9</Pages>
  <Words>2005</Words>
  <Characters>15353</Characters>
  <CharactersWithSpaces>17982</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2024-02-02T06:20:00Z</dcterms:created>
  <dc:creator>Андрей А. Мацнев</dc:creator>
  <dc:description/>
  <dc:language>ru-RU</dc:language>
  <cp:lastModifiedBy/>
  <cp:lastPrinted>2024-02-16T12:37:35Z</cp:lastPrinted>
  <dcterms:modified xsi:type="dcterms:W3CDTF">2024-02-16T12:39:14Z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