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Обзор</w:t>
      </w:r>
    </w:p>
    <w:p>
      <w:pPr>
        <w:pStyle w:val="Normal"/>
        <w:spacing w:before="0" w:after="0"/>
        <w:jc w:val="center"/>
        <w:rPr>
          <w:rFonts w:ascii="Times New Roman" w:hAnsi="Times New Roman" w:cs="Times New Roman"/>
          <w:color w:val="FF0000"/>
          <w:sz w:val="28"/>
          <w:szCs w:val="28"/>
        </w:rPr>
      </w:pPr>
      <w:r>
        <w:rPr>
          <w:rFonts w:cs="Times New Roman" w:ascii="Times New Roman" w:hAnsi="Times New Roman"/>
          <w:sz w:val="28"/>
          <w:szCs w:val="28"/>
        </w:rPr>
        <w:t>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Республики Бурятия за 2024 год</w:t>
      </w:r>
    </w:p>
    <w:p>
      <w:pPr>
        <w:pStyle w:val="Normal"/>
        <w:spacing w:before="0" w:after="0"/>
        <w:jc w:val="both"/>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Настоящий обзор подготовлен по результатам анализа сведений о состоянии преступности в Республике Бурятия, сводной информации о нарушениях, выявляемых в ходе реализации региональных проектов Республики Бурятия, подготовленной Комитетом по проектному управлению Администрации Главы Республики Бурятия и Правительства Республики Бурятия, информации прокуратуры Республики Бурятия и Министерства внутренних дел Республики Бурятия за 2024 год.</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Состояние преступности в Республике Бурятия за январь-декабрь 2024 года выглядит следующим образом.</w:t>
      </w:r>
    </w:p>
    <w:p>
      <w:pPr>
        <w:pStyle w:val="Normal"/>
        <w:tabs>
          <w:tab w:val="clear" w:pos="708"/>
          <w:tab w:val="left" w:pos="1134" w:leader="none"/>
        </w:tabs>
        <w:spacing w:before="0" w:after="0"/>
        <w:ind w:firstLine="709"/>
        <w:jc w:val="both"/>
        <w:rPr>
          <w:rFonts w:ascii="Times New Roman" w:hAnsi="Times New Roman" w:eastAsia="Times New Roman" w:cs="Times New Roman"/>
          <w:color w:val="FF0000"/>
          <w:sz w:val="28"/>
          <w:szCs w:val="28"/>
          <w:lang w:eastAsia="ru-RU"/>
        </w:rPr>
      </w:pPr>
      <w:r>
        <w:rPr>
          <w:rFonts w:eastAsia="Times New Roman" w:cs="Times New Roman" w:ascii="Times New Roman" w:hAnsi="Times New Roman"/>
          <w:sz w:val="28"/>
          <w:szCs w:val="28"/>
          <w:lang w:eastAsia="ru-RU"/>
        </w:rPr>
        <w:t>Всего за указанный период на территории Республики Бурятия зарегистрировано 17 905 преступлений, в аналогичном периоде прошлого года (далее – АППГ) – 18 932, снижение на – 5,4 %.</w:t>
      </w:r>
      <w:r>
        <w:rPr>
          <w:rFonts w:eastAsia="Times New Roman" w:cs="Times New Roman" w:ascii="Times New Roman" w:hAnsi="Times New Roman"/>
          <w:color w:val="FF0000"/>
          <w:sz w:val="28"/>
          <w:szCs w:val="28"/>
          <w:lang w:eastAsia="ru-RU"/>
        </w:rPr>
        <w:t xml:space="preserve"> </w:t>
      </w:r>
    </w:p>
    <w:p>
      <w:pPr>
        <w:pStyle w:val="Normal"/>
        <w:tabs>
          <w:tab w:val="clear" w:pos="708"/>
          <w:tab w:val="left" w:pos="1134"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Преступлений против государственной власти, интересов государственной службы и службы в органах местного самоуправления</w:t>
      </w:r>
      <w:r>
        <w:rPr>
          <w:rFonts w:eastAsia="Times New Roman" w:cs="Times New Roman" w:ascii="Times New Roman" w:hAnsi="Times New Roman"/>
          <w:sz w:val="28"/>
          <w:szCs w:val="28"/>
          <w:lang w:eastAsia="ru-RU"/>
        </w:rPr>
        <w:t xml:space="preserve"> зарегистрировано</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194 (АППГ – 145, рост на + 33,8 %), из них:</w:t>
      </w:r>
    </w:p>
    <w:p>
      <w:pPr>
        <w:pStyle w:val="ListParagraph"/>
        <w:numPr>
          <w:ilvl w:val="0"/>
          <w:numId w:val="1"/>
        </w:numPr>
        <w:tabs>
          <w:tab w:val="clear" w:pos="708"/>
          <w:tab w:val="left" w:pos="1134" w:leader="none"/>
        </w:tabs>
        <w:spacing w:before="0" w:after="0"/>
        <w:ind w:hanging="3175" w:left="38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285 УК РФ</w:t>
        <w:tab/>
        <w:t>«Злоупотребление должностными полномочиями» – 14 преступлений (АППГ – 6, рост на + 133 %);</w:t>
      </w:r>
    </w:p>
    <w:p>
      <w:pPr>
        <w:pStyle w:val="ListParagraph"/>
        <w:numPr>
          <w:ilvl w:val="0"/>
          <w:numId w:val="1"/>
        </w:numPr>
        <w:tabs>
          <w:tab w:val="clear" w:pos="708"/>
          <w:tab w:val="left" w:pos="1134" w:leader="none"/>
        </w:tabs>
        <w:spacing w:before="0" w:after="0"/>
        <w:ind w:hanging="3175" w:left="38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286 УК РФ</w:t>
        <w:tab/>
        <w:t>«Превышение должностных полномочий» – 28 преступлений (АППГ – 19, рост на + 47,3 %);</w:t>
      </w:r>
    </w:p>
    <w:p>
      <w:pPr>
        <w:pStyle w:val="ListParagraph"/>
        <w:numPr>
          <w:ilvl w:val="0"/>
          <w:numId w:val="1"/>
        </w:numPr>
        <w:tabs>
          <w:tab w:val="clear" w:pos="708"/>
          <w:tab w:val="left" w:pos="1134" w:leader="none"/>
        </w:tabs>
        <w:spacing w:before="0" w:after="0"/>
        <w:ind w:hanging="3175" w:left="38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290 УК РФ</w:t>
        <w:tab/>
        <w:t>«Получение взятки» – 53 преступлений (АППГ – 25, рост на + 112 %);</w:t>
      </w:r>
    </w:p>
    <w:p>
      <w:pPr>
        <w:pStyle w:val="ListParagraph"/>
        <w:numPr>
          <w:ilvl w:val="0"/>
          <w:numId w:val="1"/>
        </w:numPr>
        <w:tabs>
          <w:tab w:val="clear" w:pos="708"/>
          <w:tab w:val="left" w:pos="1134" w:leader="none"/>
        </w:tabs>
        <w:spacing w:before="0" w:after="0"/>
        <w:ind w:hanging="3175" w:left="38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291 УК РФ</w:t>
        <w:tab/>
        <w:t>«Дача взятки» – 27 преступлений, (АППГ – 28, снижение на – 3,5 %);</w:t>
      </w:r>
    </w:p>
    <w:p>
      <w:pPr>
        <w:pStyle w:val="ListParagraph"/>
        <w:numPr>
          <w:ilvl w:val="0"/>
          <w:numId w:val="1"/>
        </w:numPr>
        <w:tabs>
          <w:tab w:val="clear" w:pos="708"/>
          <w:tab w:val="left" w:pos="1134" w:leader="none"/>
        </w:tabs>
        <w:spacing w:before="0" w:after="0"/>
        <w:ind w:hanging="3175" w:left="38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291.1 УК РФ</w:t>
        <w:tab/>
        <w:t>«Посредничество во взяточничестве» – 11 преступления (АППГ – 21, снижение на – 47, 6 %);</w:t>
      </w:r>
    </w:p>
    <w:p>
      <w:pPr>
        <w:pStyle w:val="ListParagraph"/>
        <w:numPr>
          <w:ilvl w:val="0"/>
          <w:numId w:val="1"/>
        </w:numPr>
        <w:tabs>
          <w:tab w:val="clear" w:pos="708"/>
          <w:tab w:val="left" w:pos="1134" w:leader="none"/>
        </w:tabs>
        <w:spacing w:before="0" w:after="0"/>
        <w:ind w:hanging="3175" w:left="38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291.2 УК РФ</w:t>
        <w:tab/>
        <w:t>«Мелкое взяточничество» – 6 преступлений (АППГ – 9, снижение на – 33,3%);</w:t>
      </w:r>
    </w:p>
    <w:p>
      <w:pPr>
        <w:pStyle w:val="ListParagraph"/>
        <w:numPr>
          <w:ilvl w:val="0"/>
          <w:numId w:val="1"/>
        </w:numPr>
        <w:tabs>
          <w:tab w:val="clear" w:pos="708"/>
          <w:tab w:val="left" w:pos="1134" w:leader="none"/>
        </w:tabs>
        <w:spacing w:before="0" w:after="0"/>
        <w:ind w:hanging="3175" w:left="38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292 УК РФ</w:t>
        <w:tab/>
        <w:t>«Служебный подлог» – 36 преступлений (АППГ – 32, рост на + 12,5 %);</w:t>
      </w:r>
    </w:p>
    <w:p>
      <w:pPr>
        <w:pStyle w:val="ListParagraph"/>
        <w:numPr>
          <w:ilvl w:val="0"/>
          <w:numId w:val="1"/>
        </w:numPr>
        <w:tabs>
          <w:tab w:val="clear" w:pos="708"/>
          <w:tab w:val="left" w:pos="1134" w:leader="none"/>
        </w:tabs>
        <w:spacing w:before="0" w:after="0"/>
        <w:ind w:hanging="3175" w:left="38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293 УК РФ</w:t>
        <w:tab/>
        <w:t>«Халатность» – 19 преступлений (АППГ – 5, рост на + 280 %).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Преступления против государственной власти, интересов государственной службы и службы в органах местного самоуправления выявлены на территории города Улан-Удэ и 16 муниципальных образований республики.</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Наибольшее количество преступлений зарегистрировано в городе Улан-Удэ 82 преступления, а также в муниципальном образовании Кабанский район 29 преступлений.</w:t>
      </w:r>
    </w:p>
    <w:p>
      <w:pPr>
        <w:pStyle w:val="Normal"/>
        <w:spacing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lang w:eastAsia="ru-RU"/>
        </w:rPr>
        <w:t xml:space="preserve">Общее количество преступлений против государственной власти, интересов государственной службы и службы в органах местного самоуправления в разрезе территориальных образований представлено в </w:t>
      </w:r>
      <w:r>
        <w:rPr>
          <w:rFonts w:eastAsia="Times New Roman" w:cs="Times New Roman" w:ascii="Times New Roman" w:hAnsi="Times New Roman"/>
          <w:i/>
          <w:sz w:val="28"/>
          <w:szCs w:val="28"/>
          <w:lang w:eastAsia="ru-RU"/>
        </w:rPr>
        <w:t>Таблице № 1.</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Преступлений</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коррупционной направленности</w:t>
      </w:r>
      <w:r>
        <w:rPr>
          <w:rFonts w:eastAsia="Times New Roman" w:cs="Times New Roman" w:ascii="Times New Roman" w:hAnsi="Times New Roman"/>
          <w:sz w:val="28"/>
          <w:szCs w:val="28"/>
          <w:lang w:eastAsia="ru-RU"/>
        </w:rPr>
        <w:t xml:space="preserve"> на территории республики было выявлено – 242 (АППГ – 175, рост на + 38,3%), из них:</w:t>
      </w:r>
    </w:p>
    <w:p>
      <w:pPr>
        <w:pStyle w:val="ListParagraph"/>
        <w:numPr>
          <w:ilvl w:val="0"/>
          <w:numId w:val="2"/>
        </w:numPr>
        <w:tabs>
          <w:tab w:val="clear" w:pos="708"/>
          <w:tab w:val="left" w:pos="1418" w:leader="none"/>
        </w:tabs>
        <w:spacing w:before="0" w:after="0"/>
        <w:ind w:hanging="1843" w:left="2552"/>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 ст. 159 УК РФ «Мошенничество»</w:t>
      </w:r>
      <w:r>
        <w:rPr>
          <w:rFonts w:cs="Times New Roman" w:ascii="Times New Roman" w:hAnsi="Times New Roman"/>
          <w:sz w:val="28"/>
          <w:szCs w:val="28"/>
        </w:rPr>
        <w:t xml:space="preserve"> – 45 преступлений (АППГ – 34,</w:t>
      </w:r>
      <w:r>
        <w:rPr>
          <w:rFonts w:eastAsia="Times New Roman" w:cs="Times New Roman" w:ascii="Times New Roman" w:hAnsi="Times New Roman"/>
          <w:sz w:val="28"/>
          <w:szCs w:val="28"/>
          <w:lang w:eastAsia="ru-RU"/>
        </w:rPr>
        <w:t xml:space="preserve"> рост на + 32,3 %);</w:t>
      </w:r>
    </w:p>
    <w:p>
      <w:pPr>
        <w:pStyle w:val="ListParagraph"/>
        <w:numPr>
          <w:ilvl w:val="0"/>
          <w:numId w:val="2"/>
        </w:numPr>
        <w:tabs>
          <w:tab w:val="clear" w:pos="708"/>
          <w:tab w:val="left" w:pos="1418" w:leader="none"/>
        </w:tabs>
        <w:spacing w:before="0" w:after="0"/>
        <w:ind w:hanging="1843" w:left="2552"/>
        <w:contextualSpacing/>
        <w:jc w:val="both"/>
        <w:rPr>
          <w:rFonts w:ascii="Times New Roman" w:hAnsi="Times New Roman" w:cs="Times New Roman"/>
          <w:sz w:val="28"/>
          <w:szCs w:val="28"/>
        </w:rPr>
      </w:pPr>
      <w:r>
        <w:rPr>
          <w:rFonts w:cs="Times New Roman" w:ascii="Times New Roman" w:hAnsi="Times New Roman"/>
          <w:sz w:val="28"/>
          <w:szCs w:val="28"/>
        </w:rPr>
        <w:t>по ст. 160 УК РФ «Присвоение или растрата» – 11 преступлений (АППГ – 25, снижение на – 56,0 %);</w:t>
      </w:r>
    </w:p>
    <w:p>
      <w:pPr>
        <w:pStyle w:val="ListParagraph"/>
        <w:numPr>
          <w:ilvl w:val="0"/>
          <w:numId w:val="2"/>
        </w:numPr>
        <w:tabs>
          <w:tab w:val="clear" w:pos="708"/>
          <w:tab w:val="left" w:pos="1418" w:leader="none"/>
        </w:tabs>
        <w:spacing w:before="0" w:after="0"/>
        <w:ind w:hanging="1843" w:left="2552"/>
        <w:contextualSpacing/>
        <w:jc w:val="both"/>
        <w:rPr>
          <w:rFonts w:ascii="Times New Roman" w:hAnsi="Times New Roman" w:cs="Times New Roman"/>
          <w:sz w:val="28"/>
          <w:szCs w:val="28"/>
        </w:rPr>
      </w:pPr>
      <w:r>
        <w:rPr>
          <w:rFonts w:cs="Times New Roman" w:ascii="Times New Roman" w:hAnsi="Times New Roman"/>
          <w:sz w:val="28"/>
          <w:szCs w:val="28"/>
        </w:rPr>
        <w:t xml:space="preserve">по ст.285 УК РФ «Злоупотребление должностными полномочиями» – 10 преступлений (АППГ – 3, рост на + 233,3 %);  </w:t>
      </w:r>
    </w:p>
    <w:p>
      <w:pPr>
        <w:pStyle w:val="ListParagraph"/>
        <w:numPr>
          <w:ilvl w:val="0"/>
          <w:numId w:val="2"/>
        </w:numPr>
        <w:tabs>
          <w:tab w:val="clear" w:pos="708"/>
          <w:tab w:val="left" w:pos="1418" w:leader="none"/>
        </w:tabs>
        <w:spacing w:before="0" w:after="0"/>
        <w:ind w:hanging="1843" w:left="2552"/>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290 УК РФ «Получение взятки» – 53 преступления (АППГ – 25, рост на + 112 %);</w:t>
      </w:r>
    </w:p>
    <w:p>
      <w:pPr>
        <w:pStyle w:val="ListParagraph"/>
        <w:numPr>
          <w:ilvl w:val="0"/>
          <w:numId w:val="2"/>
        </w:numPr>
        <w:tabs>
          <w:tab w:val="clear" w:pos="708"/>
          <w:tab w:val="left" w:pos="1418" w:leader="none"/>
        </w:tabs>
        <w:spacing w:before="0" w:after="0"/>
        <w:ind w:hanging="1843" w:left="2552"/>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291.1 УК РФ «Посредничество во взяточничестве» – 11 преступлений (АППГ – 21, снижение на – 47,6 %);</w:t>
      </w:r>
    </w:p>
    <w:p>
      <w:pPr>
        <w:pStyle w:val="ListParagraph"/>
        <w:numPr>
          <w:ilvl w:val="0"/>
          <w:numId w:val="1"/>
        </w:numPr>
        <w:tabs>
          <w:tab w:val="clear" w:pos="708"/>
          <w:tab w:val="left" w:pos="1418" w:leader="none"/>
        </w:tabs>
        <w:spacing w:before="0" w:after="0"/>
        <w:ind w:hanging="1843" w:left="2552"/>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291.2 УК РФ «Мелкое взяточничество» – 6 преступлений (АППГ – 9, снижение на – 33,3 %);</w:t>
      </w:r>
    </w:p>
    <w:p>
      <w:pPr>
        <w:pStyle w:val="ListParagraph"/>
        <w:numPr>
          <w:ilvl w:val="0"/>
          <w:numId w:val="1"/>
        </w:numPr>
        <w:tabs>
          <w:tab w:val="clear" w:pos="708"/>
          <w:tab w:val="left" w:pos="1418" w:leader="none"/>
        </w:tabs>
        <w:spacing w:before="0" w:after="0"/>
        <w:ind w:hanging="1843" w:left="2552"/>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292 УК РФ «Служебный подлог» – 21 преступление (АППГ – 24, снижение на - 12,5 %);</w:t>
      </w:r>
    </w:p>
    <w:p>
      <w:pPr>
        <w:pStyle w:val="ListParagraph"/>
        <w:numPr>
          <w:ilvl w:val="0"/>
          <w:numId w:val="1"/>
        </w:numPr>
        <w:tabs>
          <w:tab w:val="clear" w:pos="708"/>
          <w:tab w:val="left" w:pos="1418" w:leader="none"/>
        </w:tabs>
        <w:spacing w:before="0" w:after="0"/>
        <w:ind w:hanging="1843" w:left="2552"/>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204 УК РФ «Коммерческий подкуп» – 55 преступлений (АППГ – 1, рост на + 5 400%);</w:t>
      </w:r>
    </w:p>
    <w:p>
      <w:pPr>
        <w:pStyle w:val="ListParagraph"/>
        <w:numPr>
          <w:ilvl w:val="0"/>
          <w:numId w:val="1"/>
        </w:numPr>
        <w:tabs>
          <w:tab w:val="clear" w:pos="708"/>
          <w:tab w:val="left" w:pos="1418" w:leader="none"/>
        </w:tabs>
        <w:spacing w:before="0" w:after="0"/>
        <w:ind w:hanging="1843" w:left="2552"/>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ст. 291 УК РФ «Дача взятки» – 27 преступлений (АППГ – 28, снижение на – 3,5 %).</w:t>
      </w:r>
    </w:p>
    <w:p>
      <w:pPr>
        <w:pStyle w:val="Normal"/>
        <w:spacing w:before="0" w:after="0"/>
        <w:ind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Наибольшее количество преступлений данной категории зарегистрировано в городе Улан-Удэ 119 преступлений, а также в муниципальном образовании Кабанский район 31 преступление.</w:t>
      </w:r>
    </w:p>
    <w:p>
      <w:pPr>
        <w:pStyle w:val="Normal"/>
        <w:spacing w:before="0" w:after="0"/>
        <w:ind w:firstLine="851"/>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lang w:eastAsia="ru-RU"/>
        </w:rPr>
        <w:t xml:space="preserve">Общее количество преступлений коррупционной направленности в разрезе территориальных образований представлено в </w:t>
      </w:r>
      <w:r>
        <w:rPr>
          <w:rFonts w:eastAsia="Times New Roman" w:cs="Times New Roman" w:ascii="Times New Roman" w:hAnsi="Times New Roman"/>
          <w:i/>
          <w:sz w:val="28"/>
          <w:szCs w:val="28"/>
          <w:lang w:eastAsia="ru-RU"/>
        </w:rPr>
        <w:t>Таблице № 2.</w:t>
      </w:r>
    </w:p>
    <w:p>
      <w:pPr>
        <w:pStyle w:val="Normal"/>
        <w:spacing w:before="0" w:after="0"/>
        <w:ind w:firstLine="851" w:right="-2"/>
        <w:contextualSpacing/>
        <w:jc w:val="both"/>
        <w:rPr>
          <w:rFonts w:ascii="Times New Roman" w:hAnsi="Times New Roman" w:cs="Times New Roman"/>
          <w:sz w:val="28"/>
          <w:szCs w:val="28"/>
        </w:rPr>
      </w:pPr>
      <w:r>
        <w:rPr>
          <w:rFonts w:cs="Times New Roman" w:ascii="Times New Roman" w:hAnsi="Times New Roman"/>
          <w:sz w:val="28"/>
          <w:szCs w:val="28"/>
        </w:rPr>
        <w:t>По информации прокуратуры Республики Бурятия за 2024 год в сфере реализации национальных проектов</w:t>
      </w:r>
      <w:r>
        <w:rPr>
          <w:rFonts w:cs="Times New Roman" w:ascii="Times New Roman" w:hAnsi="Times New Roman"/>
          <w:color w:val="FF0000"/>
          <w:sz w:val="28"/>
          <w:szCs w:val="28"/>
        </w:rPr>
        <w:t xml:space="preserve"> </w:t>
      </w:r>
      <w:r>
        <w:rPr>
          <w:rFonts w:cs="Times New Roman" w:ascii="Times New Roman" w:hAnsi="Times New Roman"/>
          <w:sz w:val="28"/>
          <w:szCs w:val="28"/>
        </w:rPr>
        <w:t>выявлено 1 358 нарушений законов, для их устранения внесены 344 представления, по которым 138 лиц привлечены к дисциплинарной ответственности, 59 лиц по постановлениям прокуроров привлечены к административной ответственности, 82 лица предостережены о недопустимости нарушения закона, в суды направлены 236 исковых заявлений, 13 материалов направлены в порядке пункта 2 части 2 статьи 37 УПК РФ, по результатам их рассмотрения возбуждено 9 уголовных дел. Нарушения выявлялись при</w:t>
        <w:tab/>
        <w:t>реализации</w:t>
        <w:tab/>
        <w:t>национальных проектов Демография», «Здравоохранение», «Образование», «Жилье и городская среда», «Экология», «Безопасные качественные автомобильные дороги», «Культура», «Малое и среднее предпринимательство и поддержка индивидуальной предпринимательской инициативы» и «Туризм и индустрий гостеприимства».</w:t>
      </w:r>
    </w:p>
    <w:p>
      <w:pPr>
        <w:pStyle w:val="Normal"/>
        <w:spacing w:before="0" w:after="0"/>
        <w:ind w:firstLine="851" w:right="-2"/>
        <w:contextualSpacing/>
        <w:jc w:val="both"/>
        <w:rPr>
          <w:rFonts w:ascii="Times New Roman" w:hAnsi="Times New Roman" w:cs="Times New Roman"/>
          <w:sz w:val="28"/>
          <w:szCs w:val="28"/>
        </w:rPr>
      </w:pPr>
      <w:r>
        <w:rPr>
          <w:rFonts w:cs="Times New Roman" w:ascii="Times New Roman" w:hAnsi="Times New Roman"/>
          <w:sz w:val="28"/>
          <w:szCs w:val="28"/>
        </w:rPr>
        <w:t>Принятия мер прокурорского реагирования потребовали факты нарушения сроков реализации мероприятий национальных проектов, отклонения от предусмотренных проектами решений, фактического невыполнения работ, ненадлежащего осуществления контроля за ходом реализации мероприятий, недостижения показателей национальных проектов.</w:t>
      </w:r>
    </w:p>
    <w:p>
      <w:pPr>
        <w:pStyle w:val="Normal"/>
        <w:spacing w:before="0" w:after="0"/>
        <w:ind w:firstLine="851" w:right="-2"/>
        <w:contextualSpacing/>
        <w:jc w:val="both"/>
        <w:rPr>
          <w:rFonts w:ascii="Times New Roman" w:hAnsi="Times New Roman" w:cs="Times New Roman"/>
          <w:sz w:val="28"/>
          <w:szCs w:val="28"/>
        </w:rPr>
      </w:pPr>
      <w:r>
        <w:rPr>
          <w:rFonts w:cs="Times New Roman" w:ascii="Times New Roman" w:hAnsi="Times New Roman"/>
          <w:sz w:val="28"/>
          <w:szCs w:val="28"/>
        </w:rPr>
        <w:t>В 2024 году органами предварительного расследования МВД и СУ СК России по республике возбуждено 42 уголовных дела о преступлениях в сфере реализации национальных проектов (из них 20 дел коррупционной направленности). Указанные криминальные деяния выявлены при реализации мероприятий национальных проектов «Образование» (1), «Демография» (16), «Культура» (4), «Жилье и городская среда» (2), «Экология» (14), «Безопасные и качественные автомобильные дороги» (2), «Наука» (1), «Туризм и индустрия гостеприимства» (1), «Здравоохранение» (1).</w:t>
      </w:r>
    </w:p>
    <w:p>
      <w:pPr>
        <w:pStyle w:val="Normal"/>
        <w:widowControl w:val="false"/>
        <w:pBdr>
          <w:bottom w:val="single" w:sz="4" w:space="31" w:color="FFFFFF"/>
        </w:pBdr>
        <w:tabs>
          <w:tab w:val="clear" w:pos="708"/>
          <w:tab w:val="left" w:pos="0" w:leader="none"/>
        </w:tabs>
        <w:spacing w:before="0" w:after="0"/>
        <w:ind w:firstLine="851"/>
        <w:jc w:val="both"/>
        <w:rPr>
          <w:rFonts w:ascii="Times New Roman" w:hAnsi="Times New Roman" w:eastAsia="Times New Roman" w:cs="Times New Roman"/>
          <w:spacing w:val="-4"/>
          <w:sz w:val="28"/>
          <w:szCs w:val="28"/>
          <w:lang w:eastAsia="ru-RU"/>
        </w:rPr>
      </w:pPr>
      <w:r>
        <w:rPr>
          <w:rFonts w:eastAsia="Times New Roman" w:cs="Times New Roman" w:ascii="Times New Roman" w:hAnsi="Times New Roman"/>
          <w:spacing w:val="-4"/>
          <w:sz w:val="28"/>
          <w:szCs w:val="28"/>
          <w:lang w:eastAsia="ru-RU"/>
        </w:rPr>
        <w:t>Министерством внутренних дел по Республике Бурятия за отчетный период 2024 года возбуждено 27 уголовных дел, связанных с реализацией национальных проектов (15 в рамках национального проекта «Демография», 2 в сфере НП «Культура», 7 в сфере НП «Экология» и по 1 в сфере НП «Наука», «Здравоохранение» и «Безопасные и качественные автомобильные дороги»).</w:t>
      </w:r>
    </w:p>
    <w:p>
      <w:pPr>
        <w:pStyle w:val="Normal"/>
        <w:widowControl w:val="false"/>
        <w:pBdr>
          <w:bottom w:val="single" w:sz="4" w:space="31" w:color="FFFFFF"/>
        </w:pBdr>
        <w:tabs>
          <w:tab w:val="clear" w:pos="708"/>
          <w:tab w:val="left" w:pos="0" w:leader="none"/>
        </w:tabs>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За совершение коррупционных правонарушений государственными и муниципальными служащими республики за 2024 год привлечено к юридической ответственности 33 государственных служащих и 54 муниципальных служащих. </w:t>
      </w:r>
    </w:p>
    <w:p>
      <w:pPr>
        <w:pStyle w:val="Normal"/>
        <w:widowControl w:val="false"/>
        <w:pBdr>
          <w:bottom w:val="single" w:sz="4" w:space="31" w:color="FFFFFF"/>
        </w:pBdr>
        <w:tabs>
          <w:tab w:val="clear" w:pos="708"/>
          <w:tab w:val="left" w:pos="0" w:leader="none"/>
        </w:tabs>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Отделом по профилактике коррупционных и иных правонарушений Администрации Главы Республики Бурятия и Правительства Республики Бурятия (далее – Отдел по профилактике коррупционных и иных правонарушений)  совместно с органами исполнительной власти и муниципальными образованиями проводились мероприятия по вопросам соблюдения антикоррупционного законодательства для государственных гражданских служащих, лиц, замещающих муниципальные должности, муниципальных служащих, сотрудников государственных и муниципальных учреждений.</w:t>
      </w:r>
    </w:p>
    <w:p>
      <w:pPr>
        <w:pStyle w:val="Normal"/>
        <w:widowControl w:val="false"/>
        <w:pBdr>
          <w:bottom w:val="single" w:sz="4" w:space="31" w:color="FFFFFF"/>
        </w:pBdr>
        <w:tabs>
          <w:tab w:val="clear" w:pos="708"/>
          <w:tab w:val="left" w:pos="0" w:leader="none"/>
        </w:tabs>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Всего за 2024 год проведено 839 мероприятий правовой и антикоррупционной направленности, из них в органах государственной власти – 397, органах местного самоуправления – 442. Прошло обучение по антикоррупционной тематике 450 государственных и муниципальных служащих, из них в функциональные обязанности которых входит участие в противодействии коррупции – 57.</w:t>
      </w:r>
    </w:p>
    <w:p>
      <w:pPr>
        <w:pStyle w:val="Normal"/>
        <w:widowControl w:val="false"/>
        <w:pBdr>
          <w:bottom w:val="single" w:sz="4" w:space="31" w:color="FFFFFF"/>
        </w:pBdr>
        <w:tabs>
          <w:tab w:val="clear" w:pos="708"/>
          <w:tab w:val="left" w:pos="0" w:leader="none"/>
        </w:tabs>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Информация обо всех проведенных мероприятиях размещена на официальном портале Республики Бурятия.</w:t>
      </w:r>
    </w:p>
    <w:p>
      <w:pPr>
        <w:pStyle w:val="Normal"/>
        <w:widowControl w:val="false"/>
        <w:pBdr>
          <w:bottom w:val="single" w:sz="4" w:space="31" w:color="FFFFFF"/>
        </w:pBdr>
        <w:tabs>
          <w:tab w:val="clear" w:pos="708"/>
          <w:tab w:val="left" w:pos="0" w:leader="none"/>
        </w:tabs>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Профилактика коррупционных нарушений – процесс, требующий системного и качественного подхода к исполнению мероприятий, установленных коррупционным законодательством, так как совершение преступлений становится возможным, так же в связи с отсутствием контроля со стороны руководства за деятельностью подчиненных лиц, невыполнением требований нормативно-правовых актов по противодействию коррупции, низкой исполнительской дисциплиной. </w:t>
      </w:r>
    </w:p>
    <w:p>
      <w:pPr>
        <w:pStyle w:val="Normal"/>
        <w:widowControl w:val="false"/>
        <w:pBdr>
          <w:bottom w:val="single" w:sz="4" w:space="31" w:color="FFFFFF"/>
        </w:pBdr>
        <w:tabs>
          <w:tab w:val="clear" w:pos="708"/>
          <w:tab w:val="left" w:pos="0" w:leader="none"/>
        </w:tabs>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Имеются факты нарушения органами исполнительной власти и органами местного самоуправления исполнительской дисциплины.</w:t>
      </w:r>
    </w:p>
    <w:p>
      <w:pPr>
        <w:pStyle w:val="Normal"/>
        <w:widowControl w:val="false"/>
        <w:pBdr>
          <w:bottom w:val="single" w:sz="4" w:space="31" w:color="FFFFFF"/>
        </w:pBdr>
        <w:tabs>
          <w:tab w:val="clear" w:pos="708"/>
          <w:tab w:val="left" w:pos="0" w:leader="none"/>
        </w:tabs>
        <w:spacing w:before="0" w:after="0"/>
        <w:ind w:firstLine="851"/>
        <w:contextualSpacing/>
        <w:jc w:val="both"/>
        <w:rPr>
          <w:rFonts w:ascii="Times New Roman" w:hAnsi="Times New Roman" w:eastAsia="Times New Roman" w:cs="Times New Roman"/>
          <w:iCs/>
          <w:sz w:val="28"/>
          <w:szCs w:val="28"/>
          <w:lang w:eastAsia="ru-RU"/>
        </w:rPr>
      </w:pPr>
      <w:r>
        <w:rPr>
          <w:rFonts w:eastAsia="" w:cs="Times New Roman" w:ascii="Times New Roman" w:hAnsi="Times New Roman" w:eastAsiaTheme="minorEastAsia"/>
          <w:sz w:val="28"/>
          <w:szCs w:val="28"/>
          <w:lang w:eastAsia="ru-RU"/>
        </w:rPr>
        <w:t>Так, не представлены в установленный срок ответы по рассмотрению и выполнению рекомендаций обзора за 9 месяцев 2024 года из Министерства сельского хозяйства и продовольствия Республики Бурятия, Министерства экономики Республики Бурятия, Министерства по развитию транспорта, энергетики и дорожного хозяйства Республики Бурятия, Министерства спорта и молодежной политики Республики Бурятия, муниципальных образований Еравнинского, Кижингинского, Кяхтинского, Окинского и Селенгинского районов. Муниципальными образованиями</w:t>
      </w:r>
      <w:r>
        <w:rPr>
          <w:rFonts w:eastAsia="Times New Roman" w:cs="Times New Roman" w:ascii="Times New Roman" w:hAnsi="Times New Roman"/>
          <w:iCs/>
          <w:sz w:val="28"/>
          <w:szCs w:val="28"/>
          <w:lang w:eastAsia="ru-RU"/>
        </w:rPr>
        <w:t xml:space="preserve"> Селенгинского, Кабанского, Тункинского районов систематически нарушаются сроки предоставления ежеквартальных отчетов в Отдел по профилактике коррупционных и иных правонарушений по исполнению подпункта 1.2 пункта 3 Протокола заседания совета при полномочном представителе Президента Российской Федерации в Дальневосточном федеральном округе от 1 апреля 2020 года. </w:t>
      </w:r>
    </w:p>
    <w:p>
      <w:pPr>
        <w:pStyle w:val="Normal"/>
        <w:widowControl w:val="false"/>
        <w:pBdr>
          <w:bottom w:val="single" w:sz="4" w:space="31" w:color="FFFFFF"/>
        </w:pBdr>
        <w:tabs>
          <w:tab w:val="clear" w:pos="708"/>
          <w:tab w:val="left" w:pos="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Муниципальным образованием Селенгинского района не представлена информация о проведении тестирования муниципальных служащих, организованном Отделом по профилактике коррупционных и иных правонарушений в соответствии с пунктом 2.4.2 протокола заседания Комиссии при Главе Республики Бурятия по противодействию коррупции от 9 июля 2024 года. </w:t>
      </w:r>
    </w:p>
    <w:p>
      <w:pPr>
        <w:pStyle w:val="Normal"/>
        <w:widowControl w:val="false"/>
        <w:pBdr>
          <w:bottom w:val="single" w:sz="4" w:space="31" w:color="FFFFFF"/>
        </w:pBdr>
        <w:tabs>
          <w:tab w:val="clear" w:pos="708"/>
          <w:tab w:val="left" w:pos="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Не представлена информация по исполнению Антикоррупционной программы Республики Бурятия на 2021-2024 годы, утвержденной указом Главы Республики Бурятия от 14.04.2021 №108 «Об утверждении Антикоррупционной программы Республики Бурятия на 2021 – 2024 годы» за 2024 год Министерством сельского хозяйства и продовольствия Республики Бурятия, Министерством социальной защиты населения Республики Бурятия, Министерством культуры Республики Бурятия, Министерством образования и науки Республики Бурятия, Министерством спорта и молодежной политики Республики Бурятия, Гостехнадзором Республики Бурятия, муниципальными образованиями Бичурского, Джидинского, Заиграевского, Кабанского, Кижингинского, Кяхтинского, Муйского, Мухоршибирского, Прибайкальского, Селенгинского, Тарбагатайского и Тункинского районов.</w:t>
      </w:r>
    </w:p>
    <w:p>
      <w:pPr>
        <w:pStyle w:val="Normal"/>
        <w:widowControl w:val="false"/>
        <w:pBdr>
          <w:bottom w:val="single" w:sz="4" w:space="31" w:color="FFFFFF"/>
        </w:pBdr>
        <w:tabs>
          <w:tab w:val="clear" w:pos="708"/>
          <w:tab w:val="left" w:pos="0" w:leader="none"/>
        </w:tabs>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 целью, принятия дополнительных мер по противодействию коррупции, устранению порождающих её причин, а также выявления условий, способствующих её проявлению, рекомендуем:</w:t>
      </w:r>
    </w:p>
    <w:p>
      <w:pPr>
        <w:pStyle w:val="Normal"/>
        <w:widowControl w:val="false"/>
        <w:pBdr>
          <w:bottom w:val="single" w:sz="4" w:space="31" w:color="FFFFFF"/>
        </w:pBdr>
        <w:tabs>
          <w:tab w:val="clear" w:pos="708"/>
          <w:tab w:val="left" w:pos="0" w:leader="none"/>
        </w:tabs>
        <w:spacing w:before="0" w:after="0"/>
        <w:ind w:firstLine="709"/>
        <w:jc w:val="both"/>
        <w:rPr>
          <w:rFonts w:ascii="Times New Roman" w:hAnsi="Times New Roman" w:eastAsia="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незамедлительно устранить отмеченные в настоящем обзоре нарушения, обеспечить действенный контроль за исполнением мероприятий по профилактике коррупционных и иных правонарушений;</w:t>
      </w:r>
    </w:p>
    <w:p>
      <w:pPr>
        <w:pStyle w:val="Normal"/>
        <w:widowControl w:val="false"/>
        <w:pBdr>
          <w:bottom w:val="single" w:sz="4" w:space="31" w:color="FFFFFF"/>
        </w:pBdr>
        <w:tabs>
          <w:tab w:val="clear" w:pos="708"/>
          <w:tab w:val="left" w:pos="0" w:leader="none"/>
        </w:tabs>
        <w:spacing w:before="0" w:after="0"/>
        <w:ind w:firstLine="709"/>
        <w:jc w:val="both"/>
        <w:rPr>
          <w:rFonts w:ascii="Times New Roman" w:hAnsi="Times New Roman" w:eastAsia="Times New Roman"/>
          <w:sz w:val="28"/>
          <w:szCs w:val="28"/>
          <w:lang w:eastAsia="ru-RU"/>
        </w:rPr>
      </w:pPr>
      <w:r>
        <w:rPr>
          <w:rFonts w:cs="Times New Roman" w:ascii="Times New Roman" w:hAnsi="Times New Roman"/>
          <w:sz w:val="28"/>
          <w:szCs w:val="28"/>
        </w:rPr>
        <w:t xml:space="preserve">– </w:t>
      </w:r>
      <w:r>
        <w:rPr>
          <w:rFonts w:eastAsia="Times New Roman" w:ascii="Times New Roman" w:hAnsi="Times New Roman"/>
          <w:sz w:val="28"/>
          <w:szCs w:val="28"/>
          <w:lang w:eastAsia="ru-RU"/>
        </w:rPr>
        <w:t>довести вышеуказанную информацию в ходе разъяснительно-профилактических мероприятий антикоррупционной направленности (беседы, рассмотрение отдельных вопросов на совещаниях и т.п.) до сведения всех государственных гражданских и муниципальных служащих, в том числе до сведения лиц, замещающих муниципальные должности и должностных лиц подведомственных учреждений, в первую очередь лиц, замещающих должности с высокими коррупционными рисками;</w:t>
      </w:r>
    </w:p>
    <w:p>
      <w:pPr>
        <w:pStyle w:val="Normal"/>
        <w:widowControl w:val="false"/>
        <w:pBdr>
          <w:bottom w:val="single" w:sz="4" w:space="31" w:color="FFFFFF"/>
        </w:pBdr>
        <w:tabs>
          <w:tab w:val="clear" w:pos="708"/>
          <w:tab w:val="left" w:pos="0" w:leader="none"/>
        </w:tabs>
        <w:spacing w:before="0" w:after="0"/>
        <w:ind w:firstLine="709"/>
        <w:jc w:val="both"/>
        <w:rPr>
          <w:rFonts w:ascii="Times New Roman" w:hAnsi="Times New Roman" w:eastAsia="Times New Roman"/>
          <w:sz w:val="28"/>
          <w:szCs w:val="28"/>
          <w:lang w:eastAsia="ru-RU"/>
        </w:rPr>
      </w:pPr>
      <w:r>
        <w:rPr>
          <w:rFonts w:cs="Times New Roman" w:ascii="Times New Roman" w:hAnsi="Times New Roman"/>
          <w:sz w:val="28"/>
          <w:szCs w:val="28"/>
        </w:rPr>
        <w:t xml:space="preserve">– </w:t>
      </w:r>
      <w:r>
        <w:rPr>
          <w:rFonts w:eastAsia="Times New Roman" w:ascii="Times New Roman" w:hAnsi="Times New Roman"/>
          <w:sz w:val="28"/>
          <w:szCs w:val="28"/>
          <w:lang w:eastAsia="ru-RU"/>
        </w:rPr>
        <w:t>продолжить работу по формированию у государственных гражданских служащих,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pPr>
        <w:pStyle w:val="Normal"/>
        <w:widowControl w:val="false"/>
        <w:pBdr>
          <w:bottom w:val="single" w:sz="4" w:space="31" w:color="FFFFFF"/>
        </w:pBdr>
        <w:tabs>
          <w:tab w:val="clear" w:pos="708"/>
          <w:tab w:val="left" w:pos="0" w:leader="none"/>
        </w:tabs>
        <w:ind w:firstLine="709"/>
        <w:jc w:val="both"/>
        <w:rPr>
          <w:rFonts w:ascii="Times New Roman" w:hAnsi="Times New Roman" w:eastAsia="Times New Roman"/>
          <w:sz w:val="28"/>
          <w:szCs w:val="28"/>
          <w:lang w:eastAsia="ru-RU"/>
        </w:rPr>
      </w:pPr>
      <w:r>
        <w:rPr>
          <w:rFonts w:cs="Times New Roman" w:ascii="Times New Roman" w:hAnsi="Times New Roman"/>
          <w:sz w:val="28"/>
          <w:szCs w:val="28"/>
        </w:rPr>
        <w:t xml:space="preserve">– </w:t>
      </w:r>
      <w:r>
        <w:rPr>
          <w:rFonts w:eastAsia="Times New Roman" w:ascii="Times New Roman" w:hAnsi="Times New Roman"/>
          <w:sz w:val="28"/>
          <w:szCs w:val="28"/>
          <w:lang w:eastAsia="ru-RU"/>
        </w:rPr>
        <w:t>продолжить мероприятия по повышению квалификации государственных гражданских служащих и муниципальных служащих, в должностные обязанности которых входит участие в противодействии коррупции.</w:t>
      </w:r>
    </w:p>
    <w:p>
      <w:pPr>
        <w:pStyle w:val="Normal"/>
        <w:widowControl w:val="false"/>
        <w:pBdr>
          <w:bottom w:val="single" w:sz="4" w:space="31" w:color="FFFFFF"/>
        </w:pBdr>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О результатах проведенной работы сообщить в Отдел по профилактике коррупционных и иных правонарушений в срок до 20 марта 2025 года.</w:t>
      </w:r>
    </w:p>
    <w:p>
      <w:pPr>
        <w:pStyle w:val="Normal"/>
        <w:widowControl w:val="false"/>
        <w:pBdr>
          <w:bottom w:val="single" w:sz="4" w:space="31" w:color="FFFFFF"/>
        </w:pBdr>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П</w:t>
      </w:r>
      <w:r>
        <w:rPr>
          <w:rFonts w:cs="Times New Roman" w:ascii="Times New Roman" w:hAnsi="Times New Roman"/>
          <w:i/>
          <w:sz w:val="28"/>
          <w:szCs w:val="28"/>
          <w:u w:val="single"/>
        </w:rPr>
        <w:t>риложение</w:t>
      </w:r>
      <w:r>
        <w:rPr>
          <w:rFonts w:cs="Times New Roman" w:ascii="Times New Roman" w:hAnsi="Times New Roman"/>
          <w:i/>
          <w:sz w:val="28"/>
          <w:szCs w:val="28"/>
        </w:rPr>
        <w:t>:</w:t>
      </w:r>
      <w:r>
        <w:rPr>
          <w:rFonts w:cs="Times New Roman" w:ascii="Times New Roman" w:hAnsi="Times New Roman"/>
          <w:sz w:val="28"/>
          <w:szCs w:val="28"/>
        </w:rPr>
        <w:t xml:space="preserve"> на 2 листах.</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Отдел по профилактике коррупционных и иных правонарушений</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Администрации Главы Республики Бурятия</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и Правительства Республики Бурятия</w:t>
      </w:r>
    </w:p>
    <w:sectPr>
      <w:headerReference w:type="default" r:id="rId2"/>
      <w:type w:val="nextPage"/>
      <w:pgSz w:w="11906" w:h="16838"/>
      <w:pgMar w:left="1134" w:right="848" w:gutter="0" w:header="709" w:top="1134" w:footer="0" w:bottom="993"/>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99936588"/>
    </w:sdtPr>
    <w:sdtContent>
      <w:p>
        <w:pPr>
          <w:pStyle w:val="Header"/>
          <w:jc w:val="center"/>
          <w:rPr>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5</w:t>
        </w:r>
        <w:r>
          <w:rPr>
            <w:sz w:val="24"/>
            <w:szCs w:val="24"/>
            <w:rFonts w:cs="Times New Roman" w:ascii="Times New Roman" w:hAnsi="Times New Roman"/>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b0021c"/>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Data2" w:customStyle="1">
    <w:name w:val="data2"/>
    <w:basedOn w:val="DefaultParagraphFont"/>
    <w:qFormat/>
    <w:rsid w:val="00115911"/>
    <w:rPr/>
  </w:style>
  <w:style w:type="character" w:styleId="Fio18" w:customStyle="1">
    <w:name w:val="fio18"/>
    <w:basedOn w:val="DefaultParagraphFont"/>
    <w:qFormat/>
    <w:rsid w:val="00115911"/>
    <w:rPr/>
  </w:style>
  <w:style w:type="character" w:styleId="Style13" w:customStyle="1">
    <w:name w:val="Основной текст Знак"/>
    <w:basedOn w:val="DefaultParagraphFont"/>
    <w:qFormat/>
    <w:rsid w:val="00492b9a"/>
    <w:rPr>
      <w:rFonts w:ascii="Times New Roman" w:hAnsi="Times New Roman" w:eastAsia="Times New Roman" w:cs="Times New Roman"/>
      <w:sz w:val="28"/>
      <w:szCs w:val="20"/>
      <w:lang w:eastAsia="ru-RU"/>
    </w:rPr>
  </w:style>
  <w:style w:type="character" w:styleId="Style14" w:customStyle="1">
    <w:name w:val="Верхний колонтитул Знак"/>
    <w:basedOn w:val="DefaultParagraphFont"/>
    <w:uiPriority w:val="99"/>
    <w:qFormat/>
    <w:rsid w:val="008d0b99"/>
    <w:rPr/>
  </w:style>
  <w:style w:type="character" w:styleId="Style15" w:customStyle="1">
    <w:name w:val="Нижний колонтитул Знак"/>
    <w:basedOn w:val="DefaultParagraphFont"/>
    <w:uiPriority w:val="99"/>
    <w:qFormat/>
    <w:rsid w:val="008d0b99"/>
    <w:rPr/>
  </w:style>
  <w:style w:type="character" w:styleId="3" w:customStyle="1">
    <w:name w:val="Основной текст с отступом 3 Знак"/>
    <w:basedOn w:val="DefaultParagraphFont"/>
    <w:link w:val="BodyTextIndent3"/>
    <w:uiPriority w:val="99"/>
    <w:semiHidden/>
    <w:qFormat/>
    <w:rsid w:val="005450ff"/>
    <w:rPr>
      <w:sz w:val="16"/>
      <w:szCs w:val="16"/>
    </w:rPr>
  </w:style>
  <w:style w:type="character" w:styleId="Style16" w:customStyle="1">
    <w:name w:val="Текст выноски Знак"/>
    <w:basedOn w:val="DefaultParagraphFont"/>
    <w:link w:val="BalloonText"/>
    <w:uiPriority w:val="99"/>
    <w:semiHidden/>
    <w:qFormat/>
    <w:rsid w:val="00125a68"/>
    <w:rPr>
      <w:rFonts w:ascii="Tahoma" w:hAnsi="Tahoma" w:cs="Tahoma"/>
      <w:sz w:val="16"/>
      <w:szCs w:val="16"/>
    </w:rPr>
  </w:style>
  <w:style w:type="character" w:styleId="Apple-converted-space" w:customStyle="1">
    <w:name w:val="apple-converted-space"/>
    <w:basedOn w:val="DefaultParagraphFont"/>
    <w:qFormat/>
    <w:rsid w:val="00d83cd3"/>
    <w:rPr/>
  </w:style>
  <w:style w:type="character" w:styleId="FontStyle33" w:customStyle="1">
    <w:name w:val="Font Style33"/>
    <w:basedOn w:val="DefaultParagraphFont"/>
    <w:uiPriority w:val="99"/>
    <w:qFormat/>
    <w:rsid w:val="00f0589d"/>
    <w:rPr>
      <w:rFonts w:ascii="Times New Roman" w:hAnsi="Times New Roman" w:cs="Times New Roman"/>
      <w:sz w:val="28"/>
      <w:szCs w:val="28"/>
    </w:rPr>
  </w:style>
  <w:style w:type="character" w:styleId="Style17" w:customStyle="1">
    <w:name w:val="Текст сноски Знак"/>
    <w:basedOn w:val="DefaultParagraphFont"/>
    <w:semiHidden/>
    <w:qFormat/>
    <w:rsid w:val="00416ee3"/>
    <w:rPr>
      <w:sz w:val="20"/>
      <w:szCs w:val="20"/>
    </w:rPr>
  </w:style>
  <w:style w:type="character" w:styleId="Style18">
    <w:name w:val="Символ сноски"/>
    <w:basedOn w:val="DefaultParagraphFont"/>
    <w:uiPriority w:val="99"/>
    <w:semiHidden/>
    <w:unhideWhenUsed/>
    <w:qFormat/>
    <w:rsid w:val="00416ee3"/>
    <w:rPr>
      <w:vertAlign w:val="superscript"/>
    </w:rPr>
  </w:style>
  <w:style w:type="character" w:styleId="FootnoteReference">
    <w:name w:val="Footnote Reference"/>
    <w:rPr>
      <w:vertAlign w:val="superscript"/>
    </w:rPr>
  </w:style>
  <w:style w:type="character" w:styleId="1" w:customStyle="1">
    <w:name w:val="Заголовок 1 Знак"/>
    <w:basedOn w:val="DefaultParagraphFont"/>
    <w:uiPriority w:val="9"/>
    <w:qFormat/>
    <w:rsid w:val="00b0021c"/>
    <w:rPr>
      <w:rFonts w:ascii="Times New Roman" w:hAnsi="Times New Roman" w:eastAsia="Times New Roman" w:cs="Times New Roman"/>
      <w:b/>
      <w:bCs/>
      <w:kern w:val="2"/>
      <w:sz w:val="48"/>
      <w:szCs w:val="48"/>
      <w:lang w:eastAsia="ru-RU"/>
    </w:rPr>
  </w:style>
  <w:style w:type="character" w:styleId="Epm" w:customStyle="1">
    <w:name w:val="epm"/>
    <w:basedOn w:val="DefaultParagraphFont"/>
    <w:qFormat/>
    <w:rsid w:val="006e7488"/>
    <w:rPr/>
  </w:style>
  <w:style w:type="character" w:styleId="FontStyle17" w:customStyle="1">
    <w:name w:val="Font Style17"/>
    <w:basedOn w:val="DefaultParagraphFont"/>
    <w:uiPriority w:val="99"/>
    <w:qFormat/>
    <w:rsid w:val="00644c32"/>
    <w:rPr>
      <w:rFonts w:ascii="Times New Roman" w:hAnsi="Times New Roman" w:cs="Times New Roman"/>
      <w:sz w:val="18"/>
      <w:szCs w:val="18"/>
    </w:rPr>
  </w:style>
  <w:style w:type="character" w:styleId="Hyperlink">
    <w:name w:val="Hyperlink"/>
    <w:basedOn w:val="DefaultParagraphFont"/>
    <w:rsid w:val="0072191f"/>
    <w:rPr>
      <w:color w:val="0000FF"/>
      <w:u w:val="single"/>
    </w:rPr>
  </w:style>
  <w:style w:type="paragraph" w:styleId="Style19">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link w:val="Style13"/>
    <w:rsid w:val="00492b9a"/>
    <w:pPr>
      <w:spacing w:lineRule="auto" w:line="240" w:before="0" w:after="120"/>
    </w:pPr>
    <w:rPr>
      <w:rFonts w:ascii="Times New Roman" w:hAnsi="Times New Roman" w:eastAsia="Times New Roman" w:cs="Times New Roman"/>
      <w:sz w:val="28"/>
      <w:szCs w:val="20"/>
      <w:lang w:eastAsia="ru-RU"/>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11591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0b5915"/>
    <w:pPr>
      <w:spacing w:before="0" w:after="200"/>
      <w:ind w:left="720"/>
      <w:contextualSpacing/>
    </w:pPr>
    <w:rPr/>
  </w:style>
  <w:style w:type="paragraph" w:styleId="Style21">
    <w:name w:val="Колонтитул"/>
    <w:basedOn w:val="Normal"/>
    <w:qFormat/>
    <w:pPr/>
    <w:rPr/>
  </w:style>
  <w:style w:type="paragraph" w:styleId="Header">
    <w:name w:val="Header"/>
    <w:basedOn w:val="Normal"/>
    <w:link w:val="Style14"/>
    <w:uiPriority w:val="99"/>
    <w:unhideWhenUsed/>
    <w:rsid w:val="008d0b99"/>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8d0b99"/>
    <w:pPr>
      <w:tabs>
        <w:tab w:val="clear" w:pos="708"/>
        <w:tab w:val="center" w:pos="4677" w:leader="none"/>
        <w:tab w:val="right" w:pos="9355" w:leader="none"/>
      </w:tabs>
      <w:spacing w:lineRule="auto" w:line="240" w:before="0" w:after="0"/>
    </w:pPr>
    <w:rPr/>
  </w:style>
  <w:style w:type="paragraph" w:styleId="BodyTextIndent3">
    <w:name w:val="Body Text Indent 3"/>
    <w:basedOn w:val="Normal"/>
    <w:link w:val="3"/>
    <w:uiPriority w:val="99"/>
    <w:semiHidden/>
    <w:unhideWhenUsed/>
    <w:qFormat/>
    <w:rsid w:val="005450ff"/>
    <w:pPr>
      <w:spacing w:before="0" w:after="120"/>
      <w:ind w:left="283"/>
    </w:pPr>
    <w:rPr>
      <w:sz w:val="16"/>
      <w:szCs w:val="16"/>
    </w:rPr>
  </w:style>
  <w:style w:type="paragraph" w:styleId="BalloonText">
    <w:name w:val="Balloon Text"/>
    <w:basedOn w:val="Normal"/>
    <w:link w:val="Style16"/>
    <w:uiPriority w:val="99"/>
    <w:semiHidden/>
    <w:unhideWhenUsed/>
    <w:qFormat/>
    <w:rsid w:val="00125a68"/>
    <w:pPr>
      <w:spacing w:lineRule="auto" w:line="240" w:before="0" w:after="0"/>
    </w:pPr>
    <w:rPr>
      <w:rFonts w:ascii="Tahoma" w:hAnsi="Tahoma" w:cs="Tahoma"/>
      <w:sz w:val="16"/>
      <w:szCs w:val="16"/>
    </w:rPr>
  </w:style>
  <w:style w:type="paragraph" w:styleId="ConsPlusNormal" w:customStyle="1">
    <w:name w:val="ConsPlusNormal"/>
    <w:qFormat/>
    <w:rsid w:val="00e94b64"/>
    <w:pPr>
      <w:widowControl w:val="false"/>
      <w:bidi w:val="0"/>
      <w:spacing w:lineRule="auto" w:line="240" w:before="0" w:after="0"/>
      <w:jc w:val="left"/>
    </w:pPr>
    <w:rPr>
      <w:rFonts w:ascii="Arial" w:hAnsi="Arial" w:eastAsia="" w:cs="Arial" w:eastAsiaTheme="minorEastAsia"/>
      <w:color w:val="auto"/>
      <w:kern w:val="0"/>
      <w:sz w:val="20"/>
      <w:szCs w:val="20"/>
      <w:lang w:eastAsia="ru-RU" w:val="ru-RU" w:bidi="ar-SA"/>
    </w:rPr>
  </w:style>
  <w:style w:type="paragraph" w:styleId="ConsPlusTitle" w:customStyle="1">
    <w:name w:val="ConsPlusTitle"/>
    <w:qFormat/>
    <w:rsid w:val="005b6417"/>
    <w:pPr>
      <w:widowControl w:val="false"/>
      <w:bidi w:val="0"/>
      <w:spacing w:lineRule="auto" w:line="240" w:before="0" w:after="0"/>
      <w:jc w:val="left"/>
    </w:pPr>
    <w:rPr>
      <w:rFonts w:ascii="Arial" w:hAnsi="Arial" w:eastAsia="Times New Roman" w:cs="Arial"/>
      <w:b/>
      <w:color w:val="auto"/>
      <w:kern w:val="0"/>
      <w:sz w:val="20"/>
      <w:szCs w:val="20"/>
      <w:lang w:eastAsia="ru-RU" w:val="ru-RU" w:bidi="ar-SA"/>
    </w:rPr>
  </w:style>
  <w:style w:type="paragraph" w:styleId="ConsPlusNonformat" w:customStyle="1">
    <w:name w:val="ConsPlusNonformat"/>
    <w:uiPriority w:val="99"/>
    <w:qFormat/>
    <w:rsid w:val="00cf278c"/>
    <w:pPr>
      <w:widowControl/>
      <w:bidi w:val="0"/>
      <w:spacing w:lineRule="auto" w:line="240" w:before="0" w:after="0"/>
      <w:jc w:val="left"/>
    </w:pPr>
    <w:rPr>
      <w:rFonts w:ascii="Courier New" w:hAnsi="Courier New" w:cs="Courier New" w:eastAsia="Calibri" w:eastAsiaTheme="minorHAnsi"/>
      <w:color w:val="auto"/>
      <w:kern w:val="0"/>
      <w:sz w:val="20"/>
      <w:szCs w:val="20"/>
      <w:lang w:val="ru-RU" w:eastAsia="en-US" w:bidi="ar-SA"/>
    </w:rPr>
  </w:style>
  <w:style w:type="paragraph" w:styleId="FootnoteText">
    <w:name w:val="Footnote Text"/>
    <w:basedOn w:val="Normal"/>
    <w:link w:val="Style17"/>
    <w:semiHidden/>
    <w:unhideWhenUsed/>
    <w:rsid w:val="00416ee3"/>
    <w:pPr>
      <w:spacing w:lineRule="auto" w:line="240" w:before="0" w:after="0"/>
    </w:pPr>
    <w:rPr>
      <w:sz w:val="20"/>
      <w:szCs w:val="20"/>
    </w:rPr>
  </w:style>
  <w:style w:type="paragraph" w:styleId="ListParagraph1" w:customStyle="1">
    <w:name w:val="List Paragraph1"/>
    <w:basedOn w:val="Normal"/>
    <w:qFormat/>
    <w:rsid w:val="006e7488"/>
    <w:pPr>
      <w:spacing w:before="0" w:after="200"/>
      <w:ind w:left="720"/>
      <w:contextualSpacing/>
    </w:pPr>
    <w:rPr>
      <w:rFonts w:ascii="Calibri" w:hAnsi="Calibri" w:eastAsia="Calibri" w:cs="Times New Roman"/>
      <w:lang w:val="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0E32-3A6B-4D92-8ADE-2DBAD2DC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Application>LibreOffice/7.6.7.2$Windows_X86_64 LibreOffice_project/dd47e4b30cb7dab30588d6c79c651f218165e3c5</Application>
  <AppVersion>15.0000</AppVersion>
  <Pages>5</Pages>
  <Words>1387</Words>
  <Characters>9722</Characters>
  <CharactersWithSpaces>11105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2024-05-13T03:48:00Z</dcterms:created>
  <dc:creator>Цыренов Солбон Базарович</dc:creator>
  <dc:description/>
  <dc:language>ru-RU</dc:language>
  <cp:lastModifiedBy/>
  <cp:lastPrinted>2020-01-30T05:17:00Z</cp:lastPrinted>
  <dcterms:modified xsi:type="dcterms:W3CDTF">2025-02-24T10:16:33Z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file>