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4F" w:rsidRPr="0014554F" w:rsidRDefault="0014554F" w:rsidP="0014554F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14554F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Основные новеллы в методических рекомендациях по вопросам представления сведений о доходах в 2025 году (за отчетный 2024 год)</w:t>
      </w:r>
    </w:p>
    <w:p w:rsidR="0014554F" w:rsidRPr="0014554F" w:rsidRDefault="0014554F" w:rsidP="0014554F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2B74B1"/>
          <w:sz w:val="20"/>
          <w:szCs w:val="20"/>
          <w:lang w:eastAsia="ru-RU"/>
        </w:rPr>
      </w:pP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характера. Обновленная редакция Методических рекомендаций размещена на официальном сайте Минтруда России.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Методические рекомендации актуализированы с учетом изменений нормативных правовых актов Российской Федерации и подлежат применению в рамках декларационной кампании 2025 года (за отчетный 2024 год), а также при предоставлении сведений о доходах кандидатами, претендующими на замещение соответствующих должностей.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Методические рекомендации дополнены следующими положениями, требующими особого внимания лиц, представляющих сведения о доходах, расходах, об имуществе и обязательствах имущественного характера: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заявление о невозможности по объективным причинам представить сведения о доходах в отношении супруг (супругов) и (или) несовершеннолетних детей может быть подано служащим при предоставлении им сведений о доходах в случае назначения на должность, предусмотренную перечнем должностей, при замещении которых служащие обязаны представлять сведения о доходах, а также сведения о доходах своих супруги (супруга) и несовершеннолетних детей (при переводе с должности, не включенной в такой перечень);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указаны наиболее востребованные документы, на основании которых рекомендуется заполнять справку о доходах, и источники информации, где такие документы могут быть получены (к примеру, справку о доходах и суммах налога физического лица можно получить через Личный кабинет налогоплательщика (официальный сайт </w:t>
      </w:r>
      <w:hyperlink r:id="rId5" w:tgtFrame="_blank" w:history="1">
        <w:r w:rsidRPr="0014554F">
          <w:rPr>
            <w:rFonts w:ascii="Arial" w:eastAsia="Times New Roman" w:hAnsi="Arial" w:cs="Arial"/>
            <w:color w:val="2B74B1"/>
            <w:sz w:val="27"/>
            <w:szCs w:val="27"/>
            <w:u w:val="single"/>
            <w:lang w:eastAsia="ru-RU"/>
          </w:rPr>
          <w:t>https://lkfl2.nalog.ru/lkfl</w:t>
        </w:r>
      </w:hyperlink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), справку о размере пенсии и иных социальных выплат (в том числе о пособии по временной нетрудоспособности) можно получить через Личный кабинет налогоплательщика (официальный сайт </w:t>
      </w:r>
      <w:hyperlink r:id="rId6" w:tgtFrame="_blank" w:history="1">
        <w:r w:rsidRPr="0014554F">
          <w:rPr>
            <w:rFonts w:ascii="Arial" w:eastAsia="Times New Roman" w:hAnsi="Arial" w:cs="Arial"/>
            <w:color w:val="2B74B1"/>
            <w:sz w:val="27"/>
            <w:szCs w:val="27"/>
            <w:u w:val="single"/>
            <w:lang w:eastAsia="ru-RU"/>
          </w:rPr>
          <w:t>https://lkfl2.nalog.ru/lkfl</w:t>
        </w:r>
      </w:hyperlink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или посредством официального сайта Фонда пенсионного и социального страхования Российской Федерации (</w:t>
      </w:r>
      <w:hyperlink r:id="rId7" w:tgtFrame="_blank" w:history="1">
        <w:r w:rsidRPr="0014554F">
          <w:rPr>
            <w:rFonts w:ascii="Arial" w:eastAsia="Times New Roman" w:hAnsi="Arial" w:cs="Arial"/>
            <w:color w:val="2B74B1"/>
            <w:sz w:val="27"/>
            <w:szCs w:val="27"/>
            <w:u w:val="single"/>
            <w:lang w:eastAsia="ru-RU"/>
          </w:rPr>
          <w:t>https://sfr.gov.ru/</w:t>
        </w:r>
      </w:hyperlink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 так далее) (пункт 49 Методических рекомендаций);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3) Минтруд России не является разработчиком специального программного обеспечения «Справки БК» (далее – СПО «Справки БК»), в связи с чем все вопросы, связанные с техническим обслуживанием и функционалом СПО «Справки БК» целесообразно направлять в адрес разработчика – Федеральной службы охраны Российской Федерации;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4) законодательством Российской Федерации не предусмотрена возможность подписания справки о доходах иным лицом вместо служащего (работника), представляющего справку о доходах;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5) при применении в ходе осуществления предпринимательской деятельности автоматизированной упрощенной системы налогообложения (</w:t>
      </w:r>
      <w:proofErr w:type="spellStart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АвтоУСН</w:t>
      </w:r>
      <w:proofErr w:type="spellEnd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в качестве (дохода) указывается сумма полученных доходов (независимо от объекта налогообложения) за налоговые периоды отчетного года;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6) в разделе 1 «Сведения о доходах» справки о доходах помимо иных товаров, услуг, полученных в натуральной форме, не подлежит отражению цифровая валюта, полученная в результате осуществления </w:t>
      </w:r>
      <w:proofErr w:type="spellStart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майнинга</w:t>
      </w:r>
      <w:proofErr w:type="spellEnd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(законодательством Российской Федерации о налогах и сборах такая цифровая валюта отнесена к доходам, полученным в натуральной форме). Цифровая валюта, полученная в результате </w:t>
      </w:r>
      <w:proofErr w:type="spellStart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майнинга</w:t>
      </w:r>
      <w:proofErr w:type="spellEnd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как и цифровая валюта, полученная по иным основаниям (например, куплена, получена в дар и так далее), при ее наличии в собственности подлежит указанию в подразделе 3.5 «Цифровая валюта») раздела 3 «Сведения об имуществе» справки о доходах;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7) в разделе 1 «Сведения о доходах» справки о доходах не указываются (в том числе, в случае наличия сведений о таких денежных средствах в информации, полученной в рамках Указанием Банка России от 27 мая 2021 года № 5798-У «О порядке предоставления кредитными организациями и </w:t>
      </w:r>
      <w:proofErr w:type="spellStart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некредитными</w:t>
      </w:r>
      <w:proofErr w:type="spellEnd"/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по единой форме предоставления сведений и порядке ее заполнения» (далее - Указание № 5798-У));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8) помимо граждан, поступающих на службу (работу), раздел 2 «Сведения о расходах» справки о доходах не подлежит заполнению: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служащими, замещающими должности, не предусмотренные перечнем, при предоставлении ими сведений о доходах в случае назначения на должность, предусмотренную перечнем.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9) сведения об источнике средств, за счет которых приобретено недвижимое имущество, находящееся в пределах территории Российской </w:t>
      </w: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Федерации, в подразделе 3.1 «Недвижимое имущество» раздела 3 «Сведения об имуществе» справки о доходах не указываются (достаточно отразить реквизиты свидетельства о государственной регистрации права на недвижимое имущество или номер и дату государственной регистрации права, а также наименование и реквизиты документа, являющегося основанием для приобретения права собственности на недвижимое имущество);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10) вид, марка, модель транспортного средства, год изготовления заполняются согласно официальным документам (например, согласно паспорту транспортного средства или свидетельству о регистрации транспортного средства);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11) в целях оценки необходимости заполнения графы б «Сумма поступивших на счет денежных средств (руб.)» раздела 4 «Сведения о счетах в банках и иных кредитных организациях» справки о доходах при расчете общего дохода служащего (работника), его супруги (супруга) и несовершеннолетних детей за отчетный период и два предшествующих ему года, доходы 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отношении супруги (супруга). Во всех остальных случаях учитывается только доход служащего (работника) за отчетный период и два предшествующих ему года (аналогично в отношении супруги (супруга);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12) в разделе 4 «Сведения о счетах в банках и иных кредитных организациях» справки о доходах не подлежат отражению сведения о заключении договора долгосрочных сбережений в соответствии с Федеральным законом от 7 мая 1998 года № 75-ФЗ «О негосударственных пенсионных фондах»;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13) в информации, представляемой Федеральной налоговой службой Российской Федерации, могут указываться электронные средства платежа (ЭСП), но это не требует их отражения в разделе 4 «Сведения о счетах в банках и иных кредитных организациях» справки о доходах;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14) в случае реорганизации кредитной организации в форме слияния, присоединения или преобразования следует обращаться в банк или кредитную организацию, созданную по результатам реорганизации, в рамках Указания № 5798-У;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15) к обязательствам в соответствии с Законом Российской Федерации от 27 ноября 1992 года № 4015-1 «Об организации страхового дела в Российской Федерации» не относится и не подлежит отражению в подразделе 6.2 «Срочные обязательства финансового характера» раздела б «Сведения об обязательствах имущественного характера» </w:t>
      </w: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справки о доходах договор негосударственного пенсионного обеспечения, заключенный с негосударственным пенсионным фондом.</w:t>
      </w:r>
    </w:p>
    <w:p w:rsidR="0014554F" w:rsidRPr="0014554F" w:rsidRDefault="0014554F" w:rsidP="00145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55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Управление по антикоррупционной, кадровой и организационной работе министерства напоминает о необходимости представления сведений о доходах в установленный законом срок.</w:t>
      </w:r>
    </w:p>
    <w:p w:rsidR="008B6A52" w:rsidRDefault="008B6A52"/>
    <w:sectPr w:rsidR="008B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76"/>
    <w:multiLevelType w:val="multilevel"/>
    <w:tmpl w:val="213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65"/>
    <w:rsid w:val="0014554F"/>
    <w:rsid w:val="002D4065"/>
    <w:rsid w:val="008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0D83"/>
  <w15:chartTrackingRefBased/>
  <w15:docId w15:val="{1675CD2A-5171-4EB8-96DE-8588E6DD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4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49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2025-04-10T07:26:00Z</dcterms:created>
  <dcterms:modified xsi:type="dcterms:W3CDTF">2025-04-10T07:26:00Z</dcterms:modified>
</cp:coreProperties>
</file>