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67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bidi w:val="0"/>
        <w:spacing w:before="0" w:after="0"/>
        <w:ind w:hanging="0" w:left="0" w:right="0"/>
        <w:jc w:val="center"/>
        <w:rPr>
          <w:sz w:val="26"/>
          <w:szCs w:val="26"/>
        </w:rPr>
      </w:pPr>
      <w:bookmarkStart w:id="0" w:name="_Hlk166605970"/>
      <w:bookmarkEnd w:id="0"/>
      <w:r>
        <w:rPr>
          <w:b/>
          <w:sz w:val="26"/>
          <w:szCs w:val="26"/>
        </w:rPr>
        <w:t xml:space="preserve">О </w:t>
      </w:r>
      <w:bookmarkStart w:id="1" w:name="_Hlk166603111"/>
      <w:r>
        <w:rPr>
          <w:b/>
          <w:sz w:val="26"/>
          <w:szCs w:val="26"/>
        </w:rPr>
        <w:t xml:space="preserve">порядке  работы со списками наблюдателей, представляемыми в избирательные комиссии при проведении выборов депутатов представительного органа муниципального образования </w:t>
      </w:r>
    </w:p>
    <w:p>
      <w:pPr>
        <w:pStyle w:val="Normal"/>
        <w:bidi w:val="0"/>
        <w:spacing w:before="0" w:after="0"/>
        <w:ind w:hanging="0" w:left="0" w:righ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«Северо-Байкальский район»</w:t>
      </w:r>
    </w:p>
    <w:p>
      <w:pPr>
        <w:pStyle w:val="Normal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spacing w:before="0" w:after="0"/>
        <w:ind w:hanging="0" w:left="0" w:right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  <w:bookmarkEnd w:id="1"/>
    </w:p>
    <w:p>
      <w:pPr>
        <w:pStyle w:val="Normal"/>
        <w:bidi w:val="0"/>
        <w:spacing w:before="0" w:after="0"/>
        <w:ind w:hanging="0" w:left="0" w:right="0"/>
        <w:contextualSpacing/>
        <w:jc w:val="center"/>
        <w:rPr>
          <w:rFonts w:ascii="Times New Roman" w:hAnsi="Times New Roman"/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bidi w:val="0"/>
        <w:spacing w:lineRule="auto" w:line="312" w:before="0" w:after="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гласности в деятельности комиссий, руководствуясь пунктом 10 статьи 23, статьей 30 Федерального закона «Об основных гарантиях избирательных прав и права на участие в референдуме граждан Российской Федерации», пунктом 4, 6, 7 статьи 23  Закона РБ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«Северо-Байкальский район» </w:t>
      </w:r>
      <w:r>
        <w:rPr>
          <w:b/>
          <w:bCs/>
          <w:sz w:val="26"/>
          <w:szCs w:val="26"/>
        </w:rPr>
        <w:t>решает:</w:t>
      </w:r>
    </w:p>
    <w:p>
      <w:pPr>
        <w:pStyle w:val="Normal"/>
        <w:numPr>
          <w:ilvl w:val="0"/>
          <w:numId w:val="1"/>
        </w:numPr>
        <w:bidi w:val="0"/>
        <w:spacing w:lineRule="auto" w:line="312" w:before="0" w:after="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Разъяснения порядка работы со списками наблюдателей, представляемыми в избирательные комиссии при проведении выборов депутатов представительного органа муниципального образования «Северо-Байкальский район» (прилагается).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bidi w:val="0"/>
        <w:spacing w:lineRule="auto" w:line="312" w:before="0" w:after="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Разместить настоящее решение на официальном сайте Администрации муниципальное образование «Северо-Байкальский район» (раздел ТИК) в сети Интернет. </w:t>
      </w:r>
    </w:p>
    <w:p>
      <w:pPr>
        <w:pStyle w:val="Normal"/>
        <w:numPr>
          <w:ilvl w:val="0"/>
          <w:numId w:val="1"/>
        </w:numPr>
        <w:bidi w:val="0"/>
        <w:spacing w:lineRule="auto" w:line="312" w:before="0" w:after="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>
      <w:pPr>
        <w:pStyle w:val="Normal"/>
        <w:tabs>
          <w:tab w:val="clear" w:pos="708"/>
          <w:tab w:val="left" w:pos="993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spacing w:before="0" w:after="0"/>
        <w:ind w:hanging="0" w:left="0" w:right="0"/>
        <w:rPr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>
      <w:pPr>
        <w:pStyle w:val="Normal"/>
        <w:bidi w:val="0"/>
        <w:spacing w:before="0" w:after="0"/>
        <w:ind w:hanging="0" w:left="0" w:right="0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территориальной избирательной комиссии                    С.А. Нилова </w:t>
      </w:r>
    </w:p>
    <w:p>
      <w:pPr>
        <w:pStyle w:val="Normal"/>
        <w:bidi w:val="0"/>
        <w:spacing w:before="0" w:after="0"/>
        <w:ind w:hanging="0" w:left="0" w:right="0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spacing w:before="0" w:after="0"/>
        <w:ind w:hanging="0" w:left="0" w:right="0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</w:p>
    <w:p>
      <w:pPr>
        <w:sectPr>
          <w:type w:val="nextPage"/>
          <w:pgSz w:w="11906" w:h="16838"/>
          <w:pgMar w:left="1701" w:right="850" w:gutter="0" w:header="0" w:top="1134" w:footer="0" w:bottom="426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spacing w:before="0" w:after="0"/>
        <w:ind w:hanging="0" w:left="0" w:right="0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территориальной избирательной комиссии                    А.А. Тяжкова</w:t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sectPr>
          <w:headerReference w:type="default" r:id="rId3"/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itlePg/>
          <w:textDirection w:val="lrTb"/>
          <w:docGrid w:type="default" w:linePitch="600" w:charSpace="0"/>
        </w:sectPr>
      </w:pP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Утверждены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Решением территориальной избирательной 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комиссии МО «Северо-Байкальский район» 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31июля 2024 г. № 67</w:t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51"/>
      <w:bookmarkEnd w:id="2"/>
      <w:r>
        <w:rPr>
          <w:rFonts w:cs="Times New Roman" w:ascii="Times New Roman" w:hAnsi="Times New Roman"/>
          <w:b/>
          <w:bCs/>
          <w:sz w:val="28"/>
          <w:szCs w:val="28"/>
        </w:rPr>
        <w:t>Разъяснения порядка работы со списками наблюдателей, представляемыми в избирательные комиссии при проведении выборов  депутатов представительного органа муниципального образования «Северо-Байкальский район»</w:t>
      </w:r>
    </w:p>
    <w:p>
      <w:pPr>
        <w:pStyle w:val="ConsPlusNormal"/>
        <w:bidi w:val="0"/>
        <w:ind w:hanging="0"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 основании </w:t>
      </w:r>
      <w:hyperlink r:id="rId4">
        <w:r>
          <w:rPr>
            <w:rStyle w:val="ListLabel19"/>
            <w:rFonts w:cs="Times New Roman" w:ascii="Times New Roman" w:hAnsi="Times New Roman"/>
            <w:sz w:val="28"/>
            <w:szCs w:val="28"/>
          </w:rPr>
          <w:t>пункта 9 статьи 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">
        <w:r>
          <w:rPr>
            <w:rStyle w:val="ListLabel19"/>
            <w:rFonts w:cs="Times New Roman" w:ascii="Times New Roman" w:hAnsi="Times New Roman"/>
            <w:sz w:val="28"/>
            <w:szCs w:val="28"/>
          </w:rPr>
          <w:t>пункта 4 статьи 63.1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 № 67-ФЗ) наблюдатели вправе осуществлять наблюдение при проведении голосования в помещении для голосования, вне помещения для голосования в день  голосования,  а также при проведении голосования с использованием дополнительных возможностей реализации избирательных прав.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Наблюдателем может быть гражданин Российской Федерации, обладающий активным избирательным правом на выборах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депутатов представительного органа муниципального образования «Северо-Байкальский район».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представительного органа муниципального образования «Северо-Байкальский район»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отсутствие ограничений, предусмотренных пунктом 4 статьи 30 </w:t>
      </w:r>
      <w:r>
        <w:rPr>
          <w:rFonts w:cs="Times New Roman" w:ascii="Times New Roman" w:hAnsi="Times New Roman"/>
          <w:sz w:val="28"/>
          <w:szCs w:val="28"/>
        </w:rPr>
        <w:t>Федерального закона № 67-ФЗ.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 выборах депутатов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представительного органа муниципального образования «Северо-Байкальский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наблюдатели могут быть назначены зарегистрированным кандидатом (далее - кандидат), </w:t>
      </w:r>
      <w:r>
        <w:rPr>
          <w:rFonts w:cs="Times New Roman" w:ascii="Times New Roman" w:hAnsi="Times New Roman"/>
          <w:color w:val="342A06"/>
          <w:sz w:val="28"/>
          <w:szCs w:val="28"/>
        </w:rPr>
        <w:t>и</w:t>
      </w:r>
      <w:r>
        <w:rPr>
          <w:rFonts w:cs="Times New Roman" w:ascii="Times New Roman" w:hAnsi="Times New Roman"/>
          <w:color w:val="342A06"/>
          <w:sz w:val="28"/>
          <w:szCs w:val="28"/>
        </w:rPr>
        <w:t>збирательным объединением, выдвинувшим зарегистрированного кандидата (зарегистрированных кандидатов), избирательным объединением, зарегистрировавшим с</w:t>
      </w:r>
      <w:r>
        <w:rPr>
          <w:rFonts w:cs="Times New Roman" w:ascii="Times New Roman" w:hAnsi="Times New Roman"/>
          <w:color w:val="302709"/>
          <w:sz w:val="28"/>
          <w:szCs w:val="28"/>
        </w:rPr>
        <w:t xml:space="preserve">писок кандидатов, субъектами общественного контроля, указанными в </w:t>
      </w:r>
      <w:hyperlink r:id="rId6">
        <w:r>
          <w:rPr>
            <w:rStyle w:val="ListLabel20"/>
            <w:rFonts w:cs="Times New Roman" w:ascii="Times New Roman" w:hAnsi="Times New Roman"/>
            <w:color w:val="342A06"/>
            <w:sz w:val="28"/>
            <w:szCs w:val="28"/>
          </w:rPr>
          <w:t>пунктах 1</w:t>
        </w:r>
      </w:hyperlink>
      <w:r>
        <w:rPr>
          <w:rFonts w:cs="Times New Roman" w:ascii="Times New Roman" w:hAnsi="Times New Roman"/>
          <w:color w:val="342A06"/>
          <w:sz w:val="28"/>
          <w:szCs w:val="28"/>
        </w:rPr>
        <w:t xml:space="preserve"> и </w:t>
      </w:r>
      <w:hyperlink r:id="rId7">
        <w:r>
          <w:rPr>
            <w:rStyle w:val="ListLabel20"/>
            <w:rFonts w:cs="Times New Roman" w:ascii="Times New Roman" w:hAnsi="Times New Roman"/>
            <w:color w:val="342A06"/>
            <w:sz w:val="28"/>
            <w:szCs w:val="28"/>
          </w:rPr>
          <w:t>2 части 1 статьи 9</w:t>
        </w:r>
      </w:hyperlink>
      <w:r>
        <w:rPr>
          <w:rFonts w:cs="Times New Roman" w:ascii="Times New Roman" w:hAnsi="Times New Roman"/>
          <w:color w:val="302709"/>
          <w:sz w:val="28"/>
          <w:szCs w:val="28"/>
        </w:rPr>
        <w:t xml:space="preserve"> Фе</w:t>
      </w:r>
      <w:r>
        <w:rPr>
          <w:rFonts w:cs="Times New Roman" w:ascii="Times New Roman" w:hAnsi="Times New Roman"/>
          <w:color w:val="342A06"/>
          <w:sz w:val="28"/>
          <w:szCs w:val="28"/>
        </w:rPr>
        <w:t>дерального закона от 21 июля 2014 года № 212-ФЗ «Об основах общественного контроля в Российской Федерации» (далее - субъект назначения наблюдателей).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каждую участковую, территориальную, окружную комиссии субъектом назначения наблюдателей может быть назначено не более одного наблюдателя, </w:t>
      </w:r>
      <w:r>
        <w:rPr>
          <w:rFonts w:cs="Times New Roman" w:ascii="Times New Roman" w:hAnsi="Times New Roman"/>
          <w:sz w:val="28"/>
          <w:szCs w:val="28"/>
        </w:rPr>
        <w:t xml:space="preserve">который </w:t>
      </w:r>
      <w:r>
        <w:rPr>
          <w:rFonts w:cs="Times New Roman" w:ascii="Times New Roman" w:hAnsi="Times New Roman"/>
          <w:sz w:val="28"/>
          <w:szCs w:val="28"/>
        </w:rPr>
        <w:t xml:space="preserve"> осуществля</w:t>
      </w:r>
      <w:r>
        <w:rPr>
          <w:rFonts w:cs="Times New Roman" w:ascii="Times New Roman" w:hAnsi="Times New Roman"/>
          <w:sz w:val="28"/>
          <w:szCs w:val="28"/>
        </w:rPr>
        <w:t>ет</w:t>
      </w:r>
      <w:r>
        <w:rPr>
          <w:rFonts w:cs="Times New Roman" w:ascii="Times New Roman" w:hAnsi="Times New Roman"/>
          <w:sz w:val="28"/>
          <w:szCs w:val="28"/>
        </w:rPr>
        <w:t xml:space="preserve">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 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При назначении наблюдателей субъекты назначения наблюдателей проверяют соблюдение требований </w:t>
      </w:r>
      <w:hyperlink r:id="rId8">
        <w:r>
          <w:rPr>
            <w:rStyle w:val="ListLabel19"/>
            <w:rFonts w:cs="Times New Roman" w:ascii="Times New Roman" w:hAnsi="Times New Roman"/>
            <w:sz w:val="28"/>
            <w:szCs w:val="28"/>
          </w:rPr>
          <w:t>пункта 4 статьи 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67-ФЗ: наблюдателями не могут быть назначены выборные должностные лица, депутаты,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пунктом 7 статьи 29 Федерального закона № 67-ФЗ,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Субъекты назначения наблюдателей, назначившие наблюдателей в участковые, территориальные и окружные комиссии, не позднее чем за три дня до дня  голосования  представляют список назначенных наблюдателей в </w:t>
      </w:r>
      <w:bookmarkStart w:id="3" w:name="_Hlk166581580"/>
      <w:r>
        <w:rPr>
          <w:rFonts w:cs="Times New Roman" w:ascii="Times New Roman" w:hAnsi="Times New Roman"/>
          <w:sz w:val="28"/>
          <w:szCs w:val="28"/>
        </w:rPr>
        <w:t>территориальную комиссию</w:t>
      </w:r>
      <w:bookmarkEnd w:id="3"/>
      <w:r>
        <w:rPr>
          <w:rFonts w:cs="Times New Roman" w:ascii="Times New Roman" w:hAnsi="Times New Roman"/>
          <w:sz w:val="28"/>
          <w:szCs w:val="28"/>
        </w:rPr>
        <w:t>, организующую выборы, одновременно на бумажном носителе и в машиночитаемом виде по формам (приложения № 1, № 2). Обязательные формы списка наблюдателей (на бумажном носителе, в машиночитаемом виде) утвержд</w:t>
      </w:r>
      <w:r>
        <w:rPr>
          <w:rFonts w:cs="Times New Roman" w:ascii="Times New Roman" w:hAnsi="Times New Roman"/>
          <w:sz w:val="28"/>
          <w:szCs w:val="28"/>
        </w:rPr>
        <w:t>аются</w:t>
      </w:r>
      <w:r>
        <w:rPr>
          <w:rFonts w:cs="Times New Roman" w:ascii="Times New Roman" w:hAnsi="Times New Roman"/>
          <w:sz w:val="28"/>
          <w:szCs w:val="28"/>
        </w:rPr>
        <w:t xml:space="preserve"> территориальной избирательной комиссией, организующей выборы. Сведения о наблюдателях, указанные в списке, представленном на бумажн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носителе и в машиночитаемом виде, должны совпадать. 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последний день приема списков назначенных наблюдателей списки могут быть представлены в территориальную избирательную комиссию не позднее времени окончания работы территориальной избирательной комиссии (18 часов по местному времени).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назначения наблюдателей в участковые комиссии субъект назначения наблюдателей может представить как общий список назначенных наблюдателей по всем избирательным участкам (далее - участок), так и несколько списков по ряду участков в разное время с учетом предельных сроков осуществления данных действий.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участка (в случае назначения наблюдателя в участковую комиссию), наименование комиссии, в которую он направляется, дата осуществления наблюдения. Также рекомендуется указывать контактный телефон наблюдателя.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 67-ФЗ. 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назначенных наблюдателей должен быть подписан субъектом назначения наблюдателей и заверен печатью (при наличии). Заверение печатью списка наблюдателей, назначенных кандидатом, не требуется.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в машиночитаемом виде представляется в формате .</w:t>
      </w:r>
      <w:r>
        <w:rPr>
          <w:rFonts w:cs="Times New Roman" w:ascii="Times New Roman" w:hAnsi="Times New Roman"/>
          <w:sz w:val="28"/>
          <w:szCs w:val="28"/>
          <w:lang w:val="en-US"/>
        </w:rPr>
        <w:t>xls</w:t>
      </w:r>
      <w:r>
        <w:rPr>
          <w:rFonts w:cs="Times New Roman" w:ascii="Times New Roman" w:hAnsi="Times New Roman"/>
          <w:sz w:val="28"/>
          <w:szCs w:val="28"/>
        </w:rPr>
        <w:t>, .</w:t>
      </w:r>
      <w:r>
        <w:rPr>
          <w:rFonts w:cs="Times New Roman" w:ascii="Times New Roman" w:hAnsi="Times New Roman"/>
          <w:sz w:val="28"/>
          <w:szCs w:val="28"/>
          <w:lang w:val="en-US"/>
        </w:rPr>
        <w:t>doc</w:t>
      </w:r>
      <w:r>
        <w:rPr>
          <w:rFonts w:cs="Times New Roman" w:ascii="Times New Roman" w:hAnsi="Times New Roman"/>
          <w:sz w:val="28"/>
          <w:szCs w:val="28"/>
        </w:rPr>
        <w:t xml:space="preserve"> или .</w:t>
      </w:r>
      <w:r>
        <w:rPr>
          <w:rFonts w:cs="Times New Roman" w:ascii="Times New Roman" w:hAnsi="Times New Roman"/>
          <w:sz w:val="28"/>
          <w:szCs w:val="28"/>
          <w:lang w:val="en-US"/>
        </w:rPr>
        <w:t>rtf</w:t>
      </w:r>
      <w:r>
        <w:rPr>
          <w:rFonts w:cs="Times New Roman" w:ascii="Times New Roman" w:hAnsi="Times New Roman"/>
          <w:sz w:val="28"/>
          <w:szCs w:val="28"/>
        </w:rPr>
        <w:t xml:space="preserve"> с именем </w:t>
      </w:r>
      <w:r>
        <w:rPr>
          <w:rFonts w:cs="Times New Roman" w:ascii="Times New Roman" w:hAnsi="Times New Roman"/>
          <w:sz w:val="28"/>
          <w:szCs w:val="28"/>
          <w:lang w:val="en-US"/>
        </w:rPr>
        <w:t>Nabludateli</w:t>
      </w:r>
      <w:r>
        <w:rPr>
          <w:rFonts w:cs="Times New Roman"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При приеме списка назначенных наблюдателей член территориальной избирательной комиссии с правом решающего голоса проверяет наличие в списке всех необходимых сведений о наблюдателях, а также проверяет соответствие представленного списка формам, утвержденным организующей выборы территориальной избирательной комиссией,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проводит сверку сведений о наблюдателях в списке, представленном на бумажном носителе и в машиночитаемом виде. 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необходимых сведений о наблюдателе субъект назначения наблюдателей, представивший список назначенных наблюдателей, уточняет необходимые сведения и вносит их в список.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территориальной избирательной комиссии список назначенных наблюдателей регистрируется как входящий документ с проставлением даты и времени его приема.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В случае если после представления списка назначенных наблюдателей в территориальную избирательную комиссию наступили обстоятельства, по которым наблюдатель по уважительной причине (болезнь, командировка и др.) не сможет осуществлять наблюдение в день  голосования, субъект назначения наблюдателей вправе до дня  голосования  назначить вместо этого наблюдателя другого, письменно уведомив об этом территориальную избирательную комиссию и представив сведения о назначенном наблюдателе на бумажном носителе и в машиночитаемом виде по формам, приведенным в приложениях № 1, № 2 к настоящим Разъяснениям. </w:t>
      </w:r>
    </w:p>
    <w:p>
      <w:pPr>
        <w:pStyle w:val="Normal"/>
        <w:bidi w:val="0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случае если после представления списка в территориальную избирательную комиссию поступила информация о наличии у наблюдателя ограничений для осуществления наблюдения, предусмотренных пунктом 4 статьи 30 Федерального закона № 67-ФЗ, субъект назначения наблюдателей вправе назначить вместо этого наблюдателя другого, письменно уведомив об этом соответствующую территориальную избирательную комиссию и представив сведения о назначенном наблюдателе на бумажном носителе и в машиночитаемом виде по формам, приведенным в приложениях № 1, № 2 к настоящим Разъяснениям не позднее чем за три дня до дня  голосования.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При поступлении в территориальную избирательную комиссию списков наблюдателей, назначенных в участковые комиссии, секретарь территориальной избирательной комиссии или член территориальной избирательной  комиссии с правом решающего голоса, в обязанности которого входит работа с наблюдателями, обеспечивает доведение информации из представленных в территориальную избирательную  комиссию списков назначенных наблюдателей до соответствующих участковых избирательных комиссий не позднее чем за один день до дня  голосования. Доведение информации рекомендуется осуществлять по форме, приведенной в приложении № 3 к настоящим Разъяснениям, либо иным способом.</w:t>
      </w:r>
    </w:p>
    <w:p>
      <w:pPr>
        <w:pStyle w:val="Normal"/>
        <w:bidi w:val="0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12. В случае поступления в территориальную избирательную комиссию уведомления, предусмотренного пунктом 10 Разъяснений, территориальная избирательная комиссия незамедлительно информирует об этом участковую избирательную комиссию, направив соответствующие сведения.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Наблюдатели осуществляют свои полномочия в соответствии со </w:t>
      </w:r>
      <w:hyperlink r:id="rId9">
        <w:r>
          <w:rPr>
            <w:rStyle w:val="ListLabel19"/>
            <w:rFonts w:cs="Times New Roman" w:ascii="Times New Roman" w:hAnsi="Times New Roman"/>
            <w:sz w:val="28"/>
            <w:szCs w:val="28"/>
          </w:rPr>
          <w:t>статьей 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67-ФЗ 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Полномочия наблюдателя должны быть удостоверены в направлении, выданном субъектом назначения наблюдателей (приложение № 4) 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направлении указываются фамилия, имя и отчество наблюдателя,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адрес его места жительства, номер участка (в случае назначения наблюдателя в участковую избирательную комиссию), наименование комиссии, в которую он направляется, а также делается запись об отсутствии ограничений, предусмотренных </w:t>
      </w:r>
      <w:hyperlink r:id="rId10">
        <w:r>
          <w:rPr>
            <w:rStyle w:val="ListLabel19"/>
            <w:rFonts w:cs="Times New Roman" w:ascii="Times New Roman" w:hAnsi="Times New Roman"/>
            <w:sz w:val="28"/>
            <w:szCs w:val="28"/>
          </w:rPr>
          <w:t>пунктом 4 статьи 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67-ФЗ. Указание каких-либо дополнительных сведений о наблюдателе не требуется.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должно быть подписано субъектом назначения наблюдателей и заверено печатью (при наличии). При этом в случае направления наблюдателя кандидатом проставление печати не требуется.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Направление представляется наблюдателем, включенным в список назначенных наблюдателей, лично в участковую (территориальную, окружную) избирательную комиссию, в которую он назначен, в день, предшествующий дню  голосования, либо непосредственно в день голосования.</w:t>
      </w:r>
    </w:p>
    <w:p>
      <w:pPr>
        <w:pStyle w:val="ConsPlusNormal"/>
        <w:bidi w:val="0"/>
        <w:spacing w:lineRule="auto" w:line="36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При представлении наблюдателем направления в соответствующую комиссию секретарем комиссии или иным членом комиссии с правом решающего голоса, в обязанности которого входит работа с наблюдателями, в списке лиц, присутствовавших при проведении голосования, подсчете голосов избирателей и составлении протокола об итогах голосования, о результатах выборов делается запись о присутствии наблюдателя с указанием даты осуществления наблюдения, времени прибытия и убытия наблюдателя.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600" w:charSpace="0"/>
        </w:sectPr>
      </w:pP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66605598"/>
      <w:bookmarkEnd w:id="4"/>
      <w:r>
        <w:rPr>
          <w:rFonts w:cs="Times New Roman" w:ascii="Times New Roman" w:hAnsi="Times New Roman"/>
          <w:sz w:val="24"/>
          <w:szCs w:val="24"/>
        </w:rPr>
        <w:t xml:space="preserve">(форма для списка наблюдателей, 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представляемого на бумажном носителе)</w:t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9"/>
        <w:gridCol w:w="287"/>
        <w:gridCol w:w="714"/>
        <w:gridCol w:w="422"/>
        <w:gridCol w:w="62"/>
        <w:gridCol w:w="1072"/>
        <w:gridCol w:w="514"/>
        <w:gridCol w:w="1045"/>
        <w:gridCol w:w="1417"/>
        <w:gridCol w:w="2104"/>
        <w:gridCol w:w="307"/>
        <w:gridCol w:w="711"/>
        <w:gridCol w:w="846"/>
      </w:tblGrid>
      <w:tr>
        <w:trPr/>
        <w:tc>
          <w:tcPr>
            <w:tcW w:w="1200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6636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864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/>
        <w:tc>
          <w:tcPr>
            <w:tcW w:w="1200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636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субъекта Российской Федерации)</w:t>
            </w:r>
          </w:p>
        </w:tc>
        <w:tc>
          <w:tcPr>
            <w:tcW w:w="1864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8655" w:type="dxa"/>
            <w:gridSpan w:val="11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846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>
          <w:trHeight w:val="86" w:hRule="atLeast"/>
        </w:trPr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655" w:type="dxa"/>
            <w:gridSpan w:val="11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комиссии, в которую представляется список наблюдателей)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846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8655" w:type="dxa"/>
            <w:gridSpan w:val="11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846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>
          <w:trHeight w:val="26" w:hRule="atLeast"/>
        </w:trPr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655" w:type="dxa"/>
            <w:gridSpan w:val="11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выборов)</w:t>
            </w:r>
          </w:p>
        </w:tc>
        <w:tc>
          <w:tcPr>
            <w:tcW w:w="846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9700" w:type="dxa"/>
            <w:gridSpan w:val="1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327"/>
            <w:bookmarkEnd w:id="5"/>
            <w:r>
              <w:rPr>
                <w:rFonts w:cs="Times New Roman" w:ascii="Times New Roman" w:hAnsi="Times New Roman"/>
                <w:sz w:val="22"/>
                <w:szCs w:val="22"/>
              </w:rPr>
              <w:t>СПИСОК НАБЛЮДАТЕЛЕЙ,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назначенных</w:t>
            </w:r>
          </w:p>
        </w:tc>
      </w:tr>
      <w:tr>
        <w:trPr>
          <w:trHeight w:val="138" w:hRule="atLeast"/>
        </w:trPr>
        <w:tc>
          <w:tcPr>
            <w:tcW w:w="1684" w:type="dxa"/>
            <w:gridSpan w:val="5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016" w:type="dxa"/>
            <w:gridSpan w:val="8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(кем назначены)</w:t>
            </w:r>
            <w:r>
              <w:rPr>
                <w:rStyle w:val="FootnoteReference"/>
              </w:rPr>
              <w:footnoteReference w:id="3"/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места жительства, контактный телефон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комиссии, в которую направляется наблюдатель, номер участка (для назначенных в участковую комиссию)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осуществления наблюдения</w:t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700" w:type="dxa"/>
            <w:gridSpan w:val="1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firstLine="709"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</w:tc>
      </w:tr>
      <w:tr>
        <w:trPr/>
        <w:tc>
          <w:tcPr>
            <w:tcW w:w="3270" w:type="dxa"/>
            <w:gridSpan w:val="7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6430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775" w:hRule="atLeast"/>
        </w:trPr>
        <w:tc>
          <w:tcPr>
            <w:tcW w:w="3270" w:type="dxa"/>
            <w:gridSpan w:val="7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МП</w:t>
            </w:r>
            <w:r>
              <w:rPr>
                <w:rStyle w:val="FootnoteReference"/>
              </w:rPr>
              <w:footnoteReference w:id="5"/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(если субъект назначения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является юридическим лицом)</w:t>
            </w:r>
          </w:p>
        </w:tc>
        <w:tc>
          <w:tcPr>
            <w:tcW w:w="6430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(подпись кандидата/уполномоченного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контроля, дата)</w:t>
            </w:r>
          </w:p>
        </w:tc>
      </w:tr>
    </w:tbl>
    <w:p>
      <w:pPr>
        <w:sectPr>
          <w:headerReference w:type="default" r:id="rId11"/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(форма для списка наблюдателей, 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представляемого в машиночитаемом виде)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9"/>
        <w:gridCol w:w="287"/>
        <w:gridCol w:w="714"/>
        <w:gridCol w:w="422"/>
        <w:gridCol w:w="62"/>
        <w:gridCol w:w="1072"/>
        <w:gridCol w:w="1559"/>
        <w:gridCol w:w="1417"/>
        <w:gridCol w:w="2104"/>
        <w:gridCol w:w="307"/>
        <w:gridCol w:w="711"/>
        <w:gridCol w:w="709"/>
        <w:gridCol w:w="137"/>
      </w:tblGrid>
      <w:tr>
        <w:trPr/>
        <w:tc>
          <w:tcPr>
            <w:tcW w:w="1200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663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727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/>
        <w:tc>
          <w:tcPr>
            <w:tcW w:w="1200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63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субъекта Российской Федерации)</w:t>
            </w:r>
          </w:p>
        </w:tc>
        <w:tc>
          <w:tcPr>
            <w:tcW w:w="1727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8655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70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/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655" w:type="dxa"/>
            <w:gridSpan w:val="10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комиссии, в которую представляется список наблюдателей)</w:t>
            </w:r>
          </w:p>
        </w:tc>
        <w:tc>
          <w:tcPr>
            <w:tcW w:w="70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8655" w:type="dxa"/>
            <w:gridSpan w:val="10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70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  <w:tr>
        <w:trPr/>
        <w:tc>
          <w:tcPr>
            <w:tcW w:w="19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655" w:type="dxa"/>
            <w:gridSpan w:val="10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выборов)</w:t>
            </w:r>
          </w:p>
        </w:tc>
        <w:tc>
          <w:tcPr>
            <w:tcW w:w="70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563" w:type="dxa"/>
            <w:gridSpan w:val="1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СПИСОК НАБЛЮДАТЕЛЕЙ,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назначенных</w:t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38" w:hRule="atLeast"/>
        </w:trPr>
        <w:tc>
          <w:tcPr>
            <w:tcW w:w="1684" w:type="dxa"/>
            <w:gridSpan w:val="5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87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(кем назначены)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137" w:type="dxa"/>
            <w:tcBorders/>
          </w:tcPr>
          <w:p>
            <w:pPr>
              <w:pStyle w:val="ConsPlusNormal"/>
              <w:widowControl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места жительства, контактный телефон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комиссии, в которую направляется наблюдатель, номер участка (для назначенных в участковую комиссию)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осуществления наблюдения</w:t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sectPr>
          <w:headerReference w:type="default" r:id="rId12"/>
          <w:headerReference w:type="first" r:id="rId13"/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3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5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5"/>
        <w:gridCol w:w="678"/>
        <w:gridCol w:w="6633"/>
        <w:gridCol w:w="633"/>
        <w:gridCol w:w="583"/>
      </w:tblGrid>
      <w:tr>
        <w:trPr/>
        <w:tc>
          <w:tcPr>
            <w:tcW w:w="1203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216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03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633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субъекта Российской Федерации)</w:t>
            </w:r>
          </w:p>
        </w:tc>
        <w:tc>
          <w:tcPr>
            <w:tcW w:w="1216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5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44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3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5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944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комиссии, в которую представлен список наблюдателей)</w:t>
            </w:r>
          </w:p>
        </w:tc>
        <w:tc>
          <w:tcPr>
            <w:tcW w:w="583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052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52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выборов)</w:t>
            </w:r>
          </w:p>
        </w:tc>
      </w:tr>
      <w:tr>
        <w:trPr/>
        <w:tc>
          <w:tcPr>
            <w:tcW w:w="9052" w:type="dxa"/>
            <w:gridSpan w:val="5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393"/>
            <w:bookmarkEnd w:id="6"/>
            <w:r>
              <w:rPr>
                <w:rFonts w:cs="Times New Roman" w:ascii="Times New Roman" w:hAnsi="Times New Roman"/>
                <w:sz w:val="22"/>
                <w:szCs w:val="22"/>
              </w:rPr>
              <w:t>СПИСОК НАБЛЮДАТЕЛЕЙ,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назначенных в участковую комиссию участка № ______</w:t>
            </w:r>
            <w:r>
              <w:rPr>
                <w:rStyle w:val="FootnoteReference"/>
              </w:rPr>
              <w:footnoteReference w:id="8"/>
            </w:r>
          </w:p>
        </w:tc>
      </w:tr>
    </w:tbl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844" w:type="dxa"/>
        <w:jc w:val="left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1416"/>
        <w:gridCol w:w="1134"/>
        <w:gridCol w:w="2268"/>
        <w:gridCol w:w="1422"/>
        <w:gridCol w:w="1413"/>
        <w:gridCol w:w="1561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Кого представляет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места жительства, контактный телефон</w:t>
            </w:r>
            <w:r>
              <w:rPr>
                <w:rStyle w:val="FootnoteReference"/>
              </w:rPr>
              <w:footnoteReference w:id="9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осуществления наблюдения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0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35"/>
        <w:gridCol w:w="341"/>
        <w:gridCol w:w="1970"/>
        <w:gridCol w:w="341"/>
        <w:gridCol w:w="2558"/>
      </w:tblGrid>
      <w:tr>
        <w:trPr/>
        <w:tc>
          <w:tcPr>
            <w:tcW w:w="3835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835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7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(подпись, дата)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(инициалы, фамилия)</w:t>
            </w:r>
          </w:p>
        </w:tc>
      </w:tr>
      <w:tr>
        <w:trPr/>
        <w:tc>
          <w:tcPr>
            <w:tcW w:w="3835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70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58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4</w:t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89"/>
        <w:gridCol w:w="5670"/>
      </w:tblGrid>
      <w:tr>
        <w:trPr>
          <w:trHeight w:val="399" w:hRule="atLeast"/>
        </w:trPr>
        <w:tc>
          <w:tcPr>
            <w:tcW w:w="3889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171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________________________________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избирательной комиссии; для участковой избирательной комиссии - также номер избирательного участка)</w:t>
            </w:r>
          </w:p>
        </w:tc>
      </w:tr>
    </w:tbl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89"/>
      <w:bookmarkEnd w:id="7"/>
      <w:r>
        <w:rPr>
          <w:rFonts w:cs="Times New Roman" w:ascii="Times New Roman" w:hAnsi="Times New Roman"/>
          <w:sz w:val="24"/>
          <w:szCs w:val="24"/>
        </w:rPr>
        <w:t>НАПРАВЛЕНИЕ</w:t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</w:t>
      </w:r>
    </w:p>
    <w:p>
      <w:pPr>
        <w:pStyle w:val="ConsPlusNormal"/>
        <w:bidi w:val="0"/>
        <w:ind w:firstLine="540"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(наименование субъекта назначения наблюдателя)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8"/>
        <w:gridCol w:w="175"/>
        <w:gridCol w:w="213"/>
        <w:gridCol w:w="567"/>
        <w:gridCol w:w="6236"/>
      </w:tblGrid>
      <w:tr>
        <w:trPr/>
        <w:tc>
          <w:tcPr>
            <w:tcW w:w="2543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связи с проведением</w:t>
            </w:r>
          </w:p>
        </w:tc>
        <w:tc>
          <w:tcPr>
            <w:tcW w:w="7016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выборов)</w:t>
            </w:r>
          </w:p>
        </w:tc>
      </w:tr>
      <w:tr>
        <w:trPr/>
        <w:tc>
          <w:tcPr>
            <w:tcW w:w="2756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направляет наблюдателем в</w:t>
            </w:r>
          </w:p>
        </w:tc>
        <w:tc>
          <w:tcPr>
            <w:tcW w:w="6803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избирательной комиссии;</w:t>
            </w:r>
          </w:p>
        </w:tc>
      </w:tr>
      <w:tr>
        <w:trPr/>
        <w:tc>
          <w:tcPr>
            <w:tcW w:w="9559" w:type="dxa"/>
            <w:gridSpan w:val="5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участковой избирательной комиссии - также номер избирательного участка с указанием субъекта Российской Федерации)</w:t>
            </w:r>
          </w:p>
        </w:tc>
      </w:tr>
      <w:tr>
        <w:trPr/>
        <w:tc>
          <w:tcPr>
            <w:tcW w:w="9559" w:type="dxa"/>
            <w:gridSpan w:val="5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_____________________________________________________________________________________,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>
        <w:trPr/>
        <w:tc>
          <w:tcPr>
            <w:tcW w:w="3323" w:type="dxa"/>
            <w:gridSpan w:val="4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проживающего(ую) по адресу:</w:t>
            </w:r>
          </w:p>
        </w:tc>
        <w:tc>
          <w:tcPr>
            <w:tcW w:w="6236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субъекта Российской Федерации, района, города,</w:t>
            </w:r>
          </w:p>
        </w:tc>
      </w:tr>
      <w:tr>
        <w:trPr/>
        <w:tc>
          <w:tcPr>
            <w:tcW w:w="9559" w:type="dxa"/>
            <w:gridSpan w:val="5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иного населенного пункта, улицы, номера дома и квартиры)</w:t>
            </w:r>
          </w:p>
        </w:tc>
      </w:tr>
      <w:tr>
        <w:trPr/>
        <w:tc>
          <w:tcPr>
            <w:tcW w:w="2368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контактный телефон:</w:t>
            </w:r>
          </w:p>
        </w:tc>
        <w:tc>
          <w:tcPr>
            <w:tcW w:w="7191" w:type="dxa"/>
            <w:gridSpan w:val="4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(номер телефона)</w:t>
            </w:r>
          </w:p>
        </w:tc>
      </w:tr>
    </w:tbl>
    <w:p>
      <w:pPr>
        <w:pStyle w:val="ConsPlusNormal"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Ограничения, предусмотренные пунктом 4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отношении указанного наблюдателя отсутствуют.</w:t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9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78"/>
        <w:gridCol w:w="2121"/>
        <w:gridCol w:w="2698"/>
      </w:tblGrid>
      <w:tr>
        <w:trPr>
          <w:trHeight w:val="266" w:hRule="atLeast"/>
        </w:trPr>
        <w:tc>
          <w:tcPr>
            <w:tcW w:w="4678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firstLine="540"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(фамилия и инициалы кандидата 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контроля)</w:t>
            </w:r>
          </w:p>
        </w:tc>
        <w:tc>
          <w:tcPr>
            <w:tcW w:w="2121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98" w:type="dxa"/>
            <w:tcBorders/>
          </w:tcPr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</w:t>
            </w:r>
          </w:p>
          <w:p>
            <w:pPr>
              <w:pStyle w:val="ConsPlus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bidi w:val="0"/>
        <w:ind w:hanging="0" w:left="0" w:right="51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МП</w:t>
      </w:r>
    </w:p>
    <w:p>
      <w:pPr>
        <w:pStyle w:val="ConsPlusNormal"/>
        <w:bidi w:val="0"/>
        <w:ind w:hanging="0" w:left="0" w:right="51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(если субъект назначения</w:t>
      </w:r>
    </w:p>
    <w:p>
      <w:pPr>
        <w:pStyle w:val="ConsPlusNormal"/>
        <w:bidi w:val="0"/>
        <w:ind w:firstLine="540" w:left="0" w:right="51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является юридическим лицом)</w:t>
      </w:r>
    </w:p>
    <w:p>
      <w:pPr>
        <w:pStyle w:val="ConsPlusNormal"/>
        <w:bidi w:val="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firstLine="54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Примечание. Направление действительно при предъявлении паспорта или документа, заменяющего паспорт гражданина Российской Федерации.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Heading1"/>
        <w:spacing w:before="240" w:after="60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</w:r>
    </w:p>
    <w:sectPr>
      <w:headerReference w:type="default" r:id="rId16"/>
      <w:headerReference w:type="first" r:id="rId17"/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itlePg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Список наблюдателей, назначенных в участковые, территориальные комиссии и окружные комиссии представляется в соответствующую территориальную комиссию, организующую выборы, не позднее чем за три дня до дня (первого дня) голосования (до дня досрочного голосования).</w:t>
      </w:r>
    </w:p>
  </w:footnote>
  <w:footnote w:id="3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Указывается субъект назначения наблюдателей.</w:t>
      </w:r>
    </w:p>
  </w:footnote>
  <w:footnote w:id="4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Контактный телефон указывается по желанию.</w:t>
      </w:r>
    </w:p>
  </w:footnote>
  <w:footnote w:id="5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Проставление печати не требуется в случае назначения наблюдателей кандидатом.</w:t>
      </w:r>
    </w:p>
  </w:footnote>
  <w:footnote w:id="6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Указывается субъект назначения наблюдателей.</w:t>
      </w:r>
    </w:p>
  </w:footnote>
  <w:footnote w:id="7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Контактный телефон указывается по желанию.</w:t>
      </w:r>
    </w:p>
  </w:footnote>
  <w:footnote w:id="8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Список передается в участковую комиссию не позднее чем за один день до дня (первого дня) голосования (до дня досрочного голосования) территориальной комиссией, организующей выборы.</w:t>
      </w:r>
    </w:p>
  </w:footnote>
  <w:footnote w:id="9">
    <w:p>
      <w:pPr>
        <w:pStyle w:val="FootnoteText"/>
        <w:spacing w:before="0" w:after="160"/>
        <w:rPr>
          <w:rFonts w:ascii="Times New Roman" w:hAnsi="Times New Roman"/>
        </w:rPr>
      </w:pPr>
      <w:r>
        <w:rPr>
          <w:rStyle w:val="Style17"/>
        </w:rPr>
        <w:footnoteRef/>
      </w:r>
      <w:r>
        <w:rPr>
          <w:rFonts w:ascii="Times New Roman" w:hAnsi="Times New Roman"/>
        </w:rPr>
        <w:t>Контактный телефон указывается при наличии.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52"/>
      <w:ind w:hanging="0"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Header"/>
      <w:bidi w:val="0"/>
      <w:spacing w:lineRule="auto" w:line="252" w:before="0" w:after="160"/>
      <w:ind w:hanging="0"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6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52"/>
      <w:ind w:hanging="0"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Header"/>
      <w:bidi w:val="0"/>
      <w:spacing w:lineRule="auto" w:line="252" w:before="0" w:after="160"/>
      <w:ind w:hanging="0"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7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52"/>
      <w:ind w:hanging="0" w:left="0" w:right="0"/>
      <w:jc w:val="center"/>
      <w:rPr/>
    </w:pPr>
    <w:r>
      <w:rPr/>
    </w:r>
  </w:p>
  <w:p>
    <w:pPr>
      <w:pStyle w:val="Header"/>
      <w:bidi w:val="0"/>
      <w:spacing w:lineRule="auto" w:line="252" w:before="0" w:after="160"/>
      <w:ind w:hanging="0" w:left="0" w:right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7">
    <w:name w:val="Символ сноски"/>
    <w:qFormat/>
    <w:rPr>
      <w:rFonts w:ascii="Times New Roman" w:hAnsi="Times New Roman"/>
      <w:sz w:val="24"/>
      <w:szCs w:val="24"/>
      <w:vertAlign w:val="superscript"/>
    </w:rPr>
  </w:style>
  <w:style w:type="character" w:styleId="FootnoteReference">
    <w:name w:val="Footnote Reference"/>
    <w:rPr>
      <w:rFonts w:ascii="Times New Roman" w:hAnsi="Times New Roman"/>
      <w:sz w:val="24"/>
      <w:szCs w:val="24"/>
      <w:vertAlign w:val="superscript"/>
    </w:rPr>
  </w:style>
  <w:style w:type="character" w:styleId="Style18">
    <w:name w:val="Текст сноски Знак"/>
    <w:basedOn w:val="DefaultParagraphFont"/>
    <w:qFormat/>
    <w:rPr>
      <w:rFonts w:ascii="Times New Roman" w:hAnsi="Times New Roman"/>
      <w:sz w:val="20"/>
      <w:szCs w:val="24"/>
    </w:rPr>
  </w:style>
  <w:style w:type="character" w:styleId="Style19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52" w:before="0" w:after="160"/>
      <w:jc w:val="left"/>
      <w:textAlignment w:val="auto"/>
    </w:pPr>
    <w:rPr>
      <w:rFonts w:ascii="Calibri" w:hAnsi="Calibri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52" w:before="0" w:after="160"/>
      <w:jc w:val="left"/>
      <w:textAlignment w:val="auto"/>
    </w:pPr>
    <w:rPr>
      <w:rFonts w:ascii="Calibri" w:hAnsi="Calibri" w:cs="Times New Roman"/>
      <w:sz w:val="22"/>
      <w:szCs w:val="22"/>
      <w:lang w:val="ru-RU" w:eastAsia="ru-RU" w:bidi="ar-SA"/>
    </w:rPr>
  </w:style>
  <w:style w:type="paragraph" w:styleId="FootnoteText">
    <w:name w:val="Footnote Text"/>
    <w:basedOn w:val="Normal"/>
    <w:pPr>
      <w:widowControl/>
      <w:spacing w:lineRule="auto" w:line="252" w:before="0" w:after="160"/>
      <w:jc w:val="left"/>
      <w:textAlignment w:val="auto"/>
    </w:pPr>
    <w:rPr>
      <w:rFonts w:ascii="Calibri" w:hAnsi="Calibri" w:cs="Times New Roman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0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0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ahoma" w:hAnsi="Tahoma" w:eastAsia="Courier New" w:cs="Tahoma"/>
      <w:color w:val="auto"/>
      <w:kern w:val="0"/>
      <w:sz w:val="26"/>
      <w:szCs w:val="26"/>
      <w:lang w:val="ru-RU" w:eastAsia="ru-RU" w:bidi="ar-SA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ahoma" w:hAnsi="Tahoma" w:eastAsia="Courier New" w:cs="Tahoma"/>
      <w:color w:val="auto"/>
      <w:kern w:val="0"/>
      <w:sz w:val="16"/>
      <w:szCs w:val="16"/>
      <w:lang w:val="ru-RU" w:eastAsia="ru-RU" w:bidi="ar-SA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0"/>
      <w:sz w:val="16"/>
      <w:szCs w:val="16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Courier New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0"/>
      <w:sz w:val="16"/>
      <w:szCs w:val="16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ourier New" w:cs="Calibri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65536&amp;dst=100491" TargetMode="External"/><Relationship Id="rId5" Type="http://schemas.openxmlformats.org/officeDocument/2006/relationships/hyperlink" Target="https://login.consultant.ru/link/?req=doc&amp;base=LAW&amp;n=465536&amp;dst=715" TargetMode="External"/><Relationship Id="rId6" Type="http://schemas.openxmlformats.org/officeDocument/2006/relationships/hyperlink" Target="https://login.consultant.ru/link/?req=doc&amp;base=LAW&amp;n=314836&amp;dst=100065" TargetMode="External"/><Relationship Id="rId7" Type="http://schemas.openxmlformats.org/officeDocument/2006/relationships/hyperlink" Target="https://login.consultant.ru/link/?req=doc&amp;base=LAW&amp;n=314836&amp;dst=100066" TargetMode="External"/><Relationship Id="rId8" Type="http://schemas.openxmlformats.org/officeDocument/2006/relationships/hyperlink" Target="https://login.consultant.ru/link/?req=doc&amp;base=LAW&amp;n=465536&amp;dst=103293" TargetMode="External"/><Relationship Id="rId9" Type="http://schemas.openxmlformats.org/officeDocument/2006/relationships/hyperlink" Target="https://login.consultant.ru/link/?req=doc&amp;base=LAW&amp;n=465536&amp;dst=100482" TargetMode="External"/><Relationship Id="rId10" Type="http://schemas.openxmlformats.org/officeDocument/2006/relationships/hyperlink" Target="https://login.consultant.ru/link/?req=doc&amp;base=LAW&amp;n=465536&amp;dst=103293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footnotes" Target="footnotes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LibreOffice/7.6.7.2$Windows_X86_64 LibreOffice_project/dd47e4b30cb7dab30588d6c79c651f218165e3c5</Application>
  <AppVersion>15.0000</AppVersion>
  <Pages>14</Pages>
  <Words>1904</Words>
  <Characters>14449</Characters>
  <CharactersWithSpaces>16304</CharactersWithSpaces>
  <Paragraphs>175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2024-07-29T11:30:10Z</cp:lastPrinted>
  <dcterms:modified xsi:type="dcterms:W3CDTF">2024-07-31T11:11:18Z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